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85A4">
      <w:pPr>
        <w:spacing w:line="337" w:lineRule="auto"/>
        <w:rPr>
          <w:rFonts w:ascii="Arial"/>
          <w:sz w:val="21"/>
        </w:rPr>
      </w:pPr>
    </w:p>
    <w:p w14:paraId="17A920CE">
      <w:pPr>
        <w:pStyle w:val="2"/>
        <w:spacing w:before="98" w:line="331" w:lineRule="auto"/>
        <w:ind w:left="2719" w:right="3319" w:hanging="1150"/>
        <w:rPr>
          <w:sz w:val="30"/>
          <w:szCs w:val="30"/>
        </w:rPr>
      </w:pPr>
      <w:r>
        <w:rPr>
          <w:b/>
          <w:bCs/>
          <w:spacing w:val="-16"/>
          <w:sz w:val="30"/>
          <w:szCs w:val="30"/>
        </w:rPr>
        <w:t>深圳市海雷新能源股份有限公司扩建项目</w:t>
      </w:r>
      <w:r>
        <w:rPr>
          <w:spacing w:val="7"/>
          <w:sz w:val="30"/>
          <w:szCs w:val="30"/>
        </w:rPr>
        <w:t xml:space="preserve"> </w:t>
      </w:r>
      <w:r>
        <w:rPr>
          <w:b/>
          <w:bCs/>
          <w:spacing w:val="-14"/>
          <w:sz w:val="30"/>
          <w:szCs w:val="30"/>
        </w:rPr>
        <w:t>竣工环境保护验收意见</w:t>
      </w:r>
    </w:p>
    <w:p w14:paraId="3CF460F2">
      <w:pPr>
        <w:pStyle w:val="2"/>
        <w:spacing w:before="42" w:line="335" w:lineRule="auto"/>
        <w:ind w:left="144" w:right="1987" w:firstLine="480"/>
        <w:jc w:val="both"/>
      </w:pPr>
      <w:r>
        <w:rPr>
          <w:spacing w:val="-11"/>
        </w:rPr>
        <w:t>根据《建设项目竣工环境保护验收暂行办法》,深圳市海雷新能源股份有限</w:t>
      </w:r>
      <w:r>
        <w:rPr>
          <w:spacing w:val="14"/>
        </w:rPr>
        <w:t xml:space="preserve"> </w:t>
      </w:r>
      <w:r>
        <w:rPr>
          <w:spacing w:val="-7"/>
        </w:rPr>
        <w:t>公司组织召开了深圳市海雷新能源股份有限公司扩建项目环保设施竣工环境保</w:t>
      </w:r>
      <w:r>
        <w:rPr>
          <w:spacing w:val="5"/>
        </w:rPr>
        <w:t xml:space="preserve"> </w:t>
      </w:r>
      <w:r>
        <w:rPr>
          <w:spacing w:val="-10"/>
        </w:rPr>
        <w:t>护验收现场会，验收小组由工程建设单位及验收报告编制单位(深圳市海雷新能</w:t>
      </w:r>
      <w:r>
        <w:t xml:space="preserve"> </w:t>
      </w:r>
      <w:r>
        <w:rPr>
          <w:spacing w:val="-3"/>
        </w:rPr>
        <w:t>源股份有限公司)、环评单位(深圳市格律诗环境技术有限公司)、</w:t>
      </w:r>
      <w:r>
        <w:rPr>
          <w:spacing w:val="-4"/>
        </w:rPr>
        <w:t>环保设施设</w:t>
      </w:r>
      <w:r>
        <w:t xml:space="preserve"> </w:t>
      </w:r>
      <w:r>
        <w:rPr>
          <w:spacing w:val="-3"/>
        </w:rPr>
        <w:t>计、施工单位(深圳耀中环保工程有限公司)、监测单位(深圳市泰诚检</w:t>
      </w:r>
      <w:r>
        <w:rPr>
          <w:spacing w:val="-4"/>
        </w:rPr>
        <w:t>测有限</w:t>
      </w:r>
      <w:r>
        <w:t xml:space="preserve"> </w:t>
      </w:r>
      <w:r>
        <w:rPr>
          <w:spacing w:val="5"/>
        </w:rPr>
        <w:t>公司)组成。</w:t>
      </w:r>
    </w:p>
    <w:p w14:paraId="712DB0CB">
      <w:pPr>
        <w:pStyle w:val="2"/>
        <w:spacing w:before="69" w:line="340" w:lineRule="auto"/>
        <w:ind w:left="144" w:right="1961" w:firstLine="480"/>
      </w:pPr>
      <w:r>
        <w:rPr>
          <w:spacing w:val="-13"/>
        </w:rPr>
        <w:t>验收组踏勘了现场，并查阅核实了本项目运</w:t>
      </w:r>
      <w:r>
        <w:rPr>
          <w:spacing w:val="-14"/>
        </w:rPr>
        <w:t>营期配套环境保护设施的建设与</w:t>
      </w:r>
      <w:r>
        <w:t xml:space="preserve"> </w:t>
      </w:r>
      <w:r>
        <w:rPr>
          <w:spacing w:val="-13"/>
        </w:rPr>
        <w:t>运行情况，经认真研究讨论形成如下验收意见：</w:t>
      </w:r>
    </w:p>
    <w:p w14:paraId="2CE19850">
      <w:pPr>
        <w:pStyle w:val="2"/>
        <w:spacing w:before="21" w:line="219" w:lineRule="auto"/>
        <w:ind w:left="628"/>
        <w:outlineLvl w:val="0"/>
      </w:pPr>
      <w:r>
        <w:rPr>
          <w:b/>
          <w:bCs/>
          <w:spacing w:val="-11"/>
        </w:rPr>
        <w:t>一、工程建设基本情况</w:t>
      </w:r>
    </w:p>
    <w:p w14:paraId="66EF4E92">
      <w:pPr>
        <w:pStyle w:val="2"/>
        <w:spacing w:before="156" w:line="219" w:lineRule="auto"/>
        <w:ind w:left="738"/>
        <w:outlineLvl w:val="0"/>
      </w:pPr>
      <w:r>
        <w:rPr>
          <w:b/>
          <w:bCs/>
          <w:spacing w:val="-4"/>
        </w:rPr>
        <w:t>(一)建设地点、规模、主要建设内容</w:t>
      </w:r>
    </w:p>
    <w:p w14:paraId="668CC10C">
      <w:pPr>
        <w:pStyle w:val="2"/>
        <w:spacing w:before="172" w:line="336" w:lineRule="auto"/>
        <w:ind w:left="144" w:right="1900" w:firstLine="480"/>
        <w:jc w:val="both"/>
      </w:pPr>
      <w:r>
        <w:drawing>
          <wp:anchor distT="0" distB="0" distL="0" distR="0" simplePos="0" relativeHeight="251659264" behindDoc="0" locked="0" layoutInCell="1" allowOverlap="1">
            <wp:simplePos x="0" y="0"/>
            <wp:positionH relativeFrom="column">
              <wp:posOffset>5806440</wp:posOffset>
            </wp:positionH>
            <wp:positionV relativeFrom="paragraph">
              <wp:posOffset>636270</wp:posOffset>
            </wp:positionV>
            <wp:extent cx="584835" cy="14865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84941" cy="1486506"/>
                    </a:xfrm>
                    <a:prstGeom prst="rect">
                      <a:avLst/>
                    </a:prstGeom>
                  </pic:spPr>
                </pic:pic>
              </a:graphicData>
            </a:graphic>
          </wp:anchor>
        </w:drawing>
      </w:r>
      <w:r>
        <w:rPr>
          <w:spacing w:val="-6"/>
        </w:rPr>
        <w:t>深圳市海雷新能源股份有限公司位于深圳市坪山区坑梓</w:t>
      </w:r>
      <w:r>
        <w:rPr>
          <w:spacing w:val="-7"/>
        </w:rPr>
        <w:t>街道秀新社区</w:t>
      </w:r>
      <w:r>
        <w:rPr>
          <w:rFonts w:hint="eastAsia"/>
          <w:spacing w:val="-7"/>
          <w:lang w:val="en-US" w:eastAsia="zh-CN"/>
        </w:rPr>
        <w:t>秀盛</w:t>
      </w:r>
      <w:r>
        <w:t xml:space="preserve"> </w:t>
      </w:r>
      <w:r>
        <w:rPr>
          <w:rFonts w:hint="eastAsia"/>
          <w:lang w:val="en-US" w:eastAsia="zh-CN"/>
        </w:rPr>
        <w:t>一</w:t>
      </w:r>
      <w:r>
        <w:rPr>
          <w:spacing w:val="12"/>
        </w:rPr>
        <w:t>路7号厂房，项目共设2栋厂房(一栋共4层的</w:t>
      </w:r>
      <w:r>
        <w:rPr>
          <w:rFonts w:ascii="Times New Roman" w:hAnsi="Times New Roman" w:eastAsia="Times New Roman" w:cs="Times New Roman"/>
          <w:spacing w:val="12"/>
        </w:rPr>
        <w:t>A</w:t>
      </w:r>
      <w:r>
        <w:rPr>
          <w:spacing w:val="12"/>
        </w:rPr>
        <w:t>栋厂房、</w:t>
      </w:r>
      <w:r>
        <w:rPr>
          <w:spacing w:val="-52"/>
        </w:rPr>
        <w:t xml:space="preserve"> </w:t>
      </w:r>
      <w:r>
        <w:rPr>
          <w:spacing w:val="12"/>
        </w:rPr>
        <w:t>一栋共4层的</w:t>
      </w:r>
      <w:r>
        <w:rPr>
          <w:rFonts w:ascii="Times New Roman" w:hAnsi="Times New Roman" w:eastAsia="Times New Roman" w:cs="Times New Roman"/>
          <w:spacing w:val="12"/>
        </w:rPr>
        <w:t>B</w:t>
      </w:r>
      <w:r>
        <w:rPr>
          <w:spacing w:val="12"/>
        </w:rPr>
        <w:t>栋</w:t>
      </w:r>
      <w:r>
        <w:t xml:space="preserve">  </w:t>
      </w:r>
      <w:r>
        <w:rPr>
          <w:spacing w:val="-6"/>
        </w:rPr>
        <w:t>厂房),一栋铁皮房。其中，</w:t>
      </w:r>
      <w:r>
        <w:rPr>
          <w:rFonts w:ascii="Times New Roman" w:hAnsi="Times New Roman" w:eastAsia="Times New Roman" w:cs="Times New Roman"/>
          <w:spacing w:val="-6"/>
        </w:rPr>
        <w:t>A</w:t>
      </w:r>
      <w:r>
        <w:rPr>
          <w:rFonts w:ascii="Times New Roman" w:hAnsi="Times New Roman" w:eastAsia="Times New Roman" w:cs="Times New Roman"/>
          <w:spacing w:val="-16"/>
        </w:rPr>
        <w:t xml:space="preserve"> </w:t>
      </w:r>
      <w:r>
        <w:rPr>
          <w:spacing w:val="-6"/>
        </w:rPr>
        <w:t>栋厂房一楼主要为仓库，二楼主要为办公区，三</w:t>
      </w:r>
      <w:r>
        <w:t xml:space="preserve"> </w:t>
      </w:r>
      <w:r>
        <w:rPr>
          <w:spacing w:val="-16"/>
        </w:rPr>
        <w:t>楼主要为生产车间；四楼主要为仓库；B</w:t>
      </w:r>
      <w:r>
        <w:rPr>
          <w:spacing w:val="-36"/>
        </w:rPr>
        <w:t xml:space="preserve"> </w:t>
      </w:r>
      <w:r>
        <w:rPr>
          <w:spacing w:val="-16"/>
        </w:rPr>
        <w:t>栋厂房一楼、二楼、</w:t>
      </w:r>
      <w:r>
        <w:rPr>
          <w:spacing w:val="-17"/>
        </w:rPr>
        <w:t>三楼均为生产车间，</w:t>
      </w:r>
      <w:r>
        <w:t xml:space="preserve"> </w:t>
      </w:r>
      <w:r>
        <w:rPr>
          <w:spacing w:val="-7"/>
        </w:rPr>
        <w:t>四楼为仓库。铁皮房主要为仓库。租赁面积为15000平方米。主要从事电动</w:t>
      </w:r>
      <w:r>
        <w:rPr>
          <w:spacing w:val="-8"/>
        </w:rPr>
        <w:t>车、</w:t>
      </w:r>
      <w:r>
        <w:t xml:space="preserve"> </w:t>
      </w:r>
      <w:r>
        <w:rPr>
          <w:spacing w:val="-13"/>
        </w:rPr>
        <w:t>电动自行车、玩具电动车、老人代步车、独轮车、</w:t>
      </w:r>
      <w:r>
        <w:rPr>
          <w:spacing w:val="-14"/>
        </w:rPr>
        <w:t>平衡车、线路板、充电器、电</w:t>
      </w:r>
      <w:r>
        <w:t xml:space="preserve"> </w:t>
      </w:r>
      <w:r>
        <w:rPr>
          <w:spacing w:val="-13"/>
        </w:rPr>
        <w:t>机、电池、电池组及相关配件、电源、电容、移</w:t>
      </w:r>
      <w:r>
        <w:rPr>
          <w:spacing w:val="-14"/>
        </w:rPr>
        <w:t>动电源、保护板、家用电器、空</w:t>
      </w:r>
      <w:r>
        <w:t xml:space="preserve"> </w:t>
      </w:r>
      <w:r>
        <w:rPr>
          <w:spacing w:val="-17"/>
        </w:rPr>
        <w:t>气进化器、机器人扫地机、充换电柜、便携式发电设备、逆变</w:t>
      </w:r>
      <w:r>
        <w:rPr>
          <w:spacing w:val="-18"/>
        </w:rPr>
        <w:t>器和充、放电设备、</w:t>
      </w:r>
      <w:r>
        <w:t xml:space="preserve"> </w:t>
      </w:r>
      <w:r>
        <w:rPr>
          <w:spacing w:val="-7"/>
        </w:rPr>
        <w:t>换电电池组、家庭储能电池、便携式电源的生产加工，年产量分别为3万台</w:t>
      </w:r>
      <w:r>
        <w:rPr>
          <w:spacing w:val="-8"/>
        </w:rPr>
        <w:t>、3</w:t>
      </w:r>
      <w:r>
        <w:t xml:space="preserve">  </w:t>
      </w:r>
      <w:r>
        <w:rPr>
          <w:spacing w:val="2"/>
        </w:rPr>
        <w:t>万台、3万台、3万台、3万台、3万台、10万件、10万件、10万件、10万件、</w:t>
      </w:r>
      <w:r>
        <w:rPr>
          <w:spacing w:val="1"/>
        </w:rPr>
        <w:t xml:space="preserve"> </w:t>
      </w:r>
      <w:r>
        <w:rPr>
          <w:spacing w:val="3"/>
        </w:rPr>
        <w:t>10万件、10万件、10万件、10万件、10万件、10万件、3万台、3万台、1万</w:t>
      </w:r>
      <w:r>
        <w:rPr>
          <w:spacing w:val="14"/>
        </w:rPr>
        <w:t xml:space="preserve"> </w:t>
      </w:r>
      <w:r>
        <w:rPr>
          <w:spacing w:val="-7"/>
        </w:rPr>
        <w:t>个、1万个、1万个、1万个、30万件、2.5万件、5万件，项目建设性质为扩建。</w:t>
      </w:r>
    </w:p>
    <w:p w14:paraId="4E6D91CB">
      <w:pPr>
        <w:pStyle w:val="2"/>
        <w:spacing w:before="132" w:line="220" w:lineRule="auto"/>
        <w:ind w:left="748"/>
        <w:outlineLvl w:val="0"/>
      </w:pPr>
      <w:r>
        <w:rPr>
          <w:b/>
          <w:bCs/>
          <w:spacing w:val="-3"/>
        </w:rPr>
        <w:t>(二)建设过程及环保审批情况</w:t>
      </w:r>
    </w:p>
    <w:p w14:paraId="44612E3B">
      <w:pPr>
        <w:pStyle w:val="2"/>
        <w:spacing w:before="154" w:line="338" w:lineRule="auto"/>
        <w:ind w:left="144" w:right="1967" w:firstLine="480"/>
        <w:jc w:val="both"/>
      </w:pPr>
      <w:r>
        <w:rPr>
          <w:spacing w:val="4"/>
        </w:rPr>
        <w:t>项目于2023年12月19日取得项目扩建《告知性备案回执》(备案号：深</w:t>
      </w:r>
      <w:r>
        <w:rPr>
          <w:spacing w:val="12"/>
        </w:rPr>
        <w:t xml:space="preserve"> </w:t>
      </w:r>
      <w:r>
        <w:rPr>
          <w:spacing w:val="7"/>
        </w:rPr>
        <w:t>环坪备【2023】214号),于2024年3月1</w:t>
      </w:r>
      <w:r>
        <w:rPr>
          <w:spacing w:val="6"/>
        </w:rPr>
        <w:t>9日办理了《固定污染源排污登记回</w:t>
      </w:r>
      <w:r>
        <w:t xml:space="preserve"> </w:t>
      </w:r>
      <w:r>
        <w:rPr>
          <w:spacing w:val="-6"/>
        </w:rPr>
        <w:t>执》(登记编号：91440300596795798</w:t>
      </w:r>
      <w:r>
        <w:rPr>
          <w:rFonts w:ascii="Times New Roman" w:hAnsi="Times New Roman" w:eastAsia="Times New Roman" w:cs="Times New Roman"/>
          <w:spacing w:val="-6"/>
        </w:rPr>
        <w:t>L001X)</w:t>
      </w:r>
      <w:r>
        <w:rPr>
          <w:spacing w:val="-6"/>
        </w:rPr>
        <w:t>变更登记，项目建有相关污染防治</w:t>
      </w:r>
      <w:r>
        <w:rPr>
          <w:spacing w:val="14"/>
        </w:rPr>
        <w:t xml:space="preserve"> </w:t>
      </w:r>
      <w:r>
        <w:rPr>
          <w:spacing w:val="-12"/>
        </w:rPr>
        <w:t>设施，项目成立至今无环境投诉、违法或处罚</w:t>
      </w:r>
      <w:r>
        <w:rPr>
          <w:spacing w:val="-13"/>
        </w:rPr>
        <w:t>记录。</w:t>
      </w:r>
    </w:p>
    <w:p w14:paraId="06CAB624">
      <w:pPr>
        <w:spacing w:line="338" w:lineRule="auto"/>
        <w:sectPr>
          <w:footerReference r:id="rId5" w:type="default"/>
          <w:pgSz w:w="11900" w:h="16840"/>
          <w:pgMar w:top="1431" w:right="49" w:bottom="1319" w:left="1785" w:header="0" w:footer="1201" w:gutter="0"/>
          <w:cols w:space="720" w:num="1"/>
        </w:sectPr>
      </w:pPr>
    </w:p>
    <w:p w14:paraId="4E061AA1">
      <w:pPr>
        <w:spacing w:line="365" w:lineRule="auto"/>
        <w:rPr>
          <w:rFonts w:ascii="Arial"/>
          <w:sz w:val="21"/>
        </w:rPr>
      </w:pPr>
    </w:p>
    <w:p w14:paraId="4D88470F">
      <w:pPr>
        <w:pStyle w:val="2"/>
        <w:spacing w:before="78" w:line="220" w:lineRule="auto"/>
        <w:ind w:left="758"/>
        <w:outlineLvl w:val="0"/>
      </w:pPr>
      <w:r>
        <w:rPr>
          <w:b/>
          <w:bCs/>
          <w:spacing w:val="6"/>
        </w:rPr>
        <w:t>(三)投资情况</w:t>
      </w:r>
    </w:p>
    <w:p w14:paraId="18BFB896">
      <w:pPr>
        <w:pStyle w:val="2"/>
        <w:spacing w:before="176" w:line="219" w:lineRule="auto"/>
        <w:ind w:left="634"/>
      </w:pPr>
      <w:r>
        <w:rPr>
          <w:spacing w:val="-1"/>
        </w:rPr>
        <w:t>项目总投资额为2000万元，其中环保投资</w:t>
      </w:r>
      <w:r>
        <w:rPr>
          <w:spacing w:val="-2"/>
        </w:rPr>
        <w:t>22万元，占总投资的1.1%。</w:t>
      </w:r>
    </w:p>
    <w:p w14:paraId="32AB24CF">
      <w:pPr>
        <w:pStyle w:val="2"/>
        <w:spacing w:before="151" w:line="219" w:lineRule="auto"/>
        <w:ind w:left="758"/>
        <w:outlineLvl w:val="0"/>
      </w:pPr>
      <w:r>
        <w:rPr>
          <w:b/>
          <w:bCs/>
          <w:spacing w:val="5"/>
        </w:rPr>
        <w:t>(四)验收范围</w:t>
      </w:r>
    </w:p>
    <w:p w14:paraId="06198B5F">
      <w:pPr>
        <w:pStyle w:val="2"/>
        <w:spacing w:before="168" w:line="219" w:lineRule="auto"/>
        <w:ind w:left="634"/>
      </w:pPr>
      <w:r>
        <w:rPr>
          <w:spacing w:val="-12"/>
        </w:rPr>
        <w:t>项目生活污水、厂界噪声、工业废气、固体废物等。</w:t>
      </w:r>
    </w:p>
    <w:p w14:paraId="237515AC">
      <w:pPr>
        <w:pStyle w:val="2"/>
        <w:spacing w:before="163" w:line="220" w:lineRule="auto"/>
        <w:ind w:left="638"/>
        <w:outlineLvl w:val="0"/>
      </w:pPr>
      <w:r>
        <w:rPr>
          <w:b/>
          <w:bCs/>
          <w:spacing w:val="-11"/>
        </w:rPr>
        <w:t>二、工程变动情况</w:t>
      </w:r>
    </w:p>
    <w:p w14:paraId="1431EBF7">
      <w:pPr>
        <w:pStyle w:val="2"/>
        <w:spacing w:before="177" w:line="219" w:lineRule="auto"/>
        <w:ind w:left="634"/>
      </w:pPr>
      <w:r>
        <w:rPr>
          <w:spacing w:val="-11"/>
        </w:rPr>
        <w:t>项目选址、产品名称、产品产量、生产工艺等均与环评核准的一致。</w:t>
      </w:r>
    </w:p>
    <w:p w14:paraId="1A6981A3">
      <w:pPr>
        <w:pStyle w:val="2"/>
        <w:spacing w:before="152" w:line="220" w:lineRule="auto"/>
        <w:ind w:left="638"/>
      </w:pPr>
      <w:r>
        <w:rPr>
          <w:b/>
          <w:bCs/>
          <w:spacing w:val="-14"/>
        </w:rPr>
        <w:t>项目不涉及重大变更。</w:t>
      </w:r>
    </w:p>
    <w:p w14:paraId="032D048D">
      <w:pPr>
        <w:pStyle w:val="2"/>
        <w:spacing w:before="164" w:line="220" w:lineRule="auto"/>
        <w:ind w:left="638"/>
        <w:outlineLvl w:val="0"/>
      </w:pPr>
      <w:r>
        <w:rPr>
          <w:b/>
          <w:bCs/>
          <w:spacing w:val="-16"/>
        </w:rPr>
        <w:t>三</w:t>
      </w:r>
      <w:r>
        <w:rPr>
          <w:spacing w:val="-36"/>
        </w:rPr>
        <w:t xml:space="preserve"> </w:t>
      </w:r>
      <w:r>
        <w:rPr>
          <w:b/>
          <w:bCs/>
          <w:spacing w:val="-16"/>
        </w:rPr>
        <w:t>、环境保护设施建设情况及污染物达标排放情况</w:t>
      </w:r>
    </w:p>
    <w:p w14:paraId="2E1191D8">
      <w:pPr>
        <w:pStyle w:val="2"/>
        <w:spacing w:before="164" w:line="219" w:lineRule="auto"/>
        <w:ind w:left="758"/>
        <w:outlineLvl w:val="0"/>
      </w:pPr>
      <w:r>
        <w:rPr>
          <w:b/>
          <w:bCs/>
          <w:spacing w:val="12"/>
        </w:rPr>
        <w:t>(一)废水</w:t>
      </w:r>
    </w:p>
    <w:p w14:paraId="0B8424A6">
      <w:pPr>
        <w:pStyle w:val="2"/>
        <w:spacing w:before="148" w:line="219" w:lineRule="auto"/>
        <w:ind w:left="755"/>
      </w:pPr>
      <w:r>
        <w:rPr>
          <w:spacing w:val="8"/>
        </w:rPr>
        <w:t>(1)生活污水</w:t>
      </w:r>
    </w:p>
    <w:p w14:paraId="7AB60211">
      <w:pPr>
        <w:pStyle w:val="2"/>
        <w:spacing w:before="175" w:line="332" w:lineRule="auto"/>
        <w:ind w:left="175" w:right="1957" w:firstLine="459"/>
        <w:jc w:val="both"/>
      </w:pPr>
      <w:r>
        <w:rPr>
          <w:spacing w:val="-13"/>
        </w:rPr>
        <w:t>项目外排废水主要为员工办公产生的生活污水。本项目</w:t>
      </w:r>
      <w:r>
        <w:rPr>
          <w:spacing w:val="-14"/>
        </w:rPr>
        <w:t>位于龙田水质净化厂</w:t>
      </w:r>
      <w:r>
        <w:t xml:space="preserve"> </w:t>
      </w:r>
      <w:r>
        <w:rPr>
          <w:spacing w:val="-13"/>
        </w:rPr>
        <w:t>的集污管网范围内，生活污水经过化粪池预处理后达到广东省地</w:t>
      </w:r>
      <w:r>
        <w:rPr>
          <w:spacing w:val="-14"/>
        </w:rPr>
        <w:t>方标准《水污染</w:t>
      </w:r>
      <w:r>
        <w:t xml:space="preserve"> </w:t>
      </w:r>
      <w:r>
        <w:rPr>
          <w:spacing w:val="-11"/>
        </w:rPr>
        <w:t>物排放限值》(DB44/26-2001)中的第二时段三级标准后，经污水收集管道进入龙</w:t>
      </w:r>
      <w:r>
        <w:t xml:space="preserve"> </w:t>
      </w:r>
      <w:r>
        <w:rPr>
          <w:spacing w:val="-13"/>
        </w:rPr>
        <w:t>田水质净化厂作后续处理。</w:t>
      </w:r>
    </w:p>
    <w:p w14:paraId="48E7C685">
      <w:pPr>
        <w:pStyle w:val="2"/>
        <w:spacing w:before="64" w:line="219" w:lineRule="auto"/>
        <w:ind w:left="755"/>
      </w:pPr>
      <w:r>
        <w:rPr>
          <w:spacing w:val="8"/>
        </w:rPr>
        <w:t>(2)工业废水</w:t>
      </w:r>
    </w:p>
    <w:p w14:paraId="760A1D44">
      <w:pPr>
        <w:pStyle w:val="2"/>
        <w:spacing w:before="176" w:line="219" w:lineRule="auto"/>
        <w:ind w:left="634"/>
      </w:pPr>
      <w:r>
        <w:drawing>
          <wp:anchor distT="0" distB="0" distL="0" distR="0" simplePos="0" relativeHeight="251660288" behindDoc="0" locked="0" layoutInCell="1" allowOverlap="1">
            <wp:simplePos x="0" y="0"/>
            <wp:positionH relativeFrom="column">
              <wp:posOffset>5958840</wp:posOffset>
            </wp:positionH>
            <wp:positionV relativeFrom="paragraph">
              <wp:posOffset>358775</wp:posOffset>
            </wp:positionV>
            <wp:extent cx="439420" cy="1524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439192" cy="1524680"/>
                    </a:xfrm>
                    <a:prstGeom prst="rect">
                      <a:avLst/>
                    </a:prstGeom>
                  </pic:spPr>
                </pic:pic>
              </a:graphicData>
            </a:graphic>
          </wp:anchor>
        </w:drawing>
      </w:r>
      <w:r>
        <w:rPr>
          <w:spacing w:val="-11"/>
        </w:rPr>
        <w:t>项目生产过程中没有工业废水产生及外排。</w:t>
      </w:r>
    </w:p>
    <w:p w14:paraId="3A023C56">
      <w:pPr>
        <w:pStyle w:val="2"/>
        <w:spacing w:before="162" w:line="220" w:lineRule="auto"/>
        <w:ind w:left="758"/>
        <w:outlineLvl w:val="0"/>
      </w:pPr>
      <w:r>
        <w:rPr>
          <w:b/>
          <w:bCs/>
          <w:spacing w:val="13"/>
        </w:rPr>
        <w:t>(二)废气</w:t>
      </w:r>
    </w:p>
    <w:p w14:paraId="6086FDBA">
      <w:pPr>
        <w:pStyle w:val="2"/>
        <w:spacing w:before="165" w:line="219" w:lineRule="auto"/>
        <w:ind w:left="634"/>
      </w:pPr>
      <w:r>
        <w:rPr>
          <w:spacing w:val="-11"/>
        </w:rPr>
        <w:t>项目焊锡工序会产生一定量的焊锡废气，主要污染因子</w:t>
      </w:r>
      <w:r>
        <w:rPr>
          <w:spacing w:val="-12"/>
        </w:rPr>
        <w:t>为锡及其化合物。</w:t>
      </w:r>
    </w:p>
    <w:p w14:paraId="65ED0C50">
      <w:pPr>
        <w:pStyle w:val="2"/>
        <w:spacing w:before="166" w:line="332" w:lineRule="auto"/>
        <w:ind w:left="175" w:right="1953" w:firstLine="459"/>
      </w:pPr>
      <w:r>
        <w:rPr>
          <w:spacing w:val="-13"/>
        </w:rPr>
        <w:t>本项目已委托深圳耀中环保工程有限公司设计了一</w:t>
      </w:r>
      <w:r>
        <w:rPr>
          <w:spacing w:val="-14"/>
        </w:rPr>
        <w:t>套废气的治理方案，目前</w:t>
      </w:r>
      <w:r>
        <w:t xml:space="preserve"> </w:t>
      </w:r>
      <w:r>
        <w:rPr>
          <w:spacing w:val="-13"/>
        </w:rPr>
        <w:t>废气的治理设施已安装完善，可正常运行。项目在废气产生工位安</w:t>
      </w:r>
      <w:r>
        <w:rPr>
          <w:spacing w:val="-14"/>
        </w:rPr>
        <w:t>装集气罩，将</w:t>
      </w:r>
      <w:r>
        <w:t xml:space="preserve"> </w:t>
      </w:r>
      <w:r>
        <w:rPr>
          <w:spacing w:val="-6"/>
        </w:rPr>
        <w:t>各工位产生的锡及其化合物收集后引至项目楼顶经二级</w:t>
      </w:r>
      <w:r>
        <w:rPr>
          <w:spacing w:val="-7"/>
        </w:rPr>
        <w:t>活性炭吸附装置处理后</w:t>
      </w:r>
      <w:r>
        <w:t xml:space="preserve"> </w:t>
      </w:r>
      <w:r>
        <w:rPr>
          <w:spacing w:val="-9"/>
        </w:rPr>
        <w:t>高空排放。</w:t>
      </w:r>
    </w:p>
    <w:p w14:paraId="5DB037CE">
      <w:pPr>
        <w:pStyle w:val="2"/>
        <w:spacing w:before="63" w:line="331" w:lineRule="auto"/>
        <w:ind w:left="175" w:right="1959" w:firstLine="459"/>
      </w:pPr>
      <w:r>
        <w:rPr>
          <w:spacing w:val="30"/>
        </w:rPr>
        <w:t>根据深圳市泰诚检测有限公司出具的《检测报告》(报告编号：</w:t>
      </w:r>
      <w:r>
        <w:rPr>
          <w:spacing w:val="9"/>
        </w:rPr>
        <w:t xml:space="preserve"> </w:t>
      </w:r>
      <w:r>
        <w:rPr>
          <w:rFonts w:ascii="Times New Roman" w:hAnsi="Times New Roman" w:eastAsia="Times New Roman" w:cs="Times New Roman"/>
          <w:spacing w:val="-8"/>
        </w:rPr>
        <w:t>TC24-HJ07-243R)</w:t>
      </w:r>
      <w:r>
        <w:rPr>
          <w:spacing w:val="-8"/>
        </w:rPr>
        <w:t>可知，项目外排焊锡废</w:t>
      </w:r>
      <w:r>
        <w:rPr>
          <w:spacing w:val="-9"/>
        </w:rPr>
        <w:t>气可达到广东省地方标准《大气污染物</w:t>
      </w:r>
      <w:r>
        <w:t xml:space="preserve"> </w:t>
      </w:r>
      <w:r>
        <w:rPr>
          <w:spacing w:val="-7"/>
        </w:rPr>
        <w:t>排放限值》(DB44/27-2001)</w:t>
      </w:r>
      <w:r>
        <w:rPr>
          <w:spacing w:val="-53"/>
        </w:rPr>
        <w:t xml:space="preserve"> </w:t>
      </w:r>
      <w:r>
        <w:rPr>
          <w:spacing w:val="-7"/>
        </w:rPr>
        <w:t>中的第二时段二级标准以及无组织排放浓度限值要</w:t>
      </w:r>
      <w:r>
        <w:t xml:space="preserve"> </w:t>
      </w:r>
      <w:r>
        <w:rPr>
          <w:spacing w:val="-12"/>
        </w:rPr>
        <w:t>求。</w:t>
      </w:r>
    </w:p>
    <w:p w14:paraId="152F56D3">
      <w:pPr>
        <w:pStyle w:val="2"/>
        <w:spacing w:before="58" w:line="220" w:lineRule="auto"/>
        <w:ind w:left="758"/>
        <w:outlineLvl w:val="0"/>
      </w:pPr>
      <w:r>
        <w:rPr>
          <w:b/>
          <w:bCs/>
          <w:spacing w:val="13"/>
        </w:rPr>
        <w:t>(三)噪声</w:t>
      </w:r>
    </w:p>
    <w:p w14:paraId="2F755825">
      <w:pPr>
        <w:pStyle w:val="2"/>
        <w:spacing w:before="177" w:line="329" w:lineRule="auto"/>
        <w:ind w:left="175" w:right="1939" w:firstLine="459"/>
        <w:jc w:val="both"/>
      </w:pPr>
      <w:r>
        <w:rPr>
          <w:spacing w:val="-13"/>
        </w:rPr>
        <w:t>项目主要噪声来源点焊机、电烙铁、激光喷码机、超</w:t>
      </w:r>
      <w:r>
        <w:rPr>
          <w:spacing w:val="-14"/>
        </w:rPr>
        <w:t>声波机、激光焊机、空</w:t>
      </w:r>
      <w:r>
        <w:t xml:space="preserve"> </w:t>
      </w:r>
      <w:r>
        <w:rPr>
          <w:spacing w:val="-13"/>
        </w:rPr>
        <w:t>压机、废气处理风机运行时产生的噪声。项目采用生产作业时关</w:t>
      </w:r>
      <w:r>
        <w:rPr>
          <w:spacing w:val="-14"/>
        </w:rPr>
        <w:t>闭部分门窗；合</w:t>
      </w:r>
      <w:r>
        <w:t xml:space="preserve"> </w:t>
      </w:r>
      <w:r>
        <w:rPr>
          <w:spacing w:val="-13"/>
        </w:rPr>
        <w:t>理布局车间；加强管理，避免午间及夜间生产；加强设备维护与保养，及时淘汰</w:t>
      </w:r>
    </w:p>
    <w:p w14:paraId="3F68EEA7">
      <w:pPr>
        <w:spacing w:line="329" w:lineRule="auto"/>
        <w:sectPr>
          <w:footerReference r:id="rId6" w:type="default"/>
          <w:pgSz w:w="11900" w:h="16840"/>
          <w:pgMar w:top="1431" w:right="39" w:bottom="1299" w:left="1785" w:header="0" w:footer="1181" w:gutter="0"/>
          <w:cols w:space="720" w:num="1"/>
        </w:sectPr>
      </w:pPr>
    </w:p>
    <w:p w14:paraId="37FBAFD8">
      <w:pPr>
        <w:spacing w:line="369" w:lineRule="auto"/>
        <w:rPr>
          <w:rFonts w:ascii="Arial"/>
          <w:sz w:val="21"/>
        </w:rPr>
      </w:pPr>
    </w:p>
    <w:p w14:paraId="0908D36F">
      <w:pPr>
        <w:pStyle w:val="2"/>
        <w:spacing w:before="78" w:line="332" w:lineRule="auto"/>
        <w:ind w:left="155" w:right="1902"/>
        <w:jc w:val="both"/>
      </w:pPr>
      <w:r>
        <w:rPr>
          <w:spacing w:val="-14"/>
        </w:rPr>
        <w:t>落后设备，减少摩擦噪声等措施进行减噪降噪。根据深圳市泰诚检测有限公司出</w:t>
      </w:r>
      <w:r>
        <w:rPr>
          <w:spacing w:val="6"/>
        </w:rPr>
        <w:t xml:space="preserve"> </w:t>
      </w:r>
      <w:r>
        <w:rPr>
          <w:spacing w:val="-6"/>
        </w:rPr>
        <w:t>具的《检测报告》(报告编号：TC24-HJ07-243R)可知，在采取上述噪声治理措</w:t>
      </w:r>
      <w:r>
        <w:rPr>
          <w:spacing w:val="13"/>
        </w:rPr>
        <w:t xml:space="preserve"> </w:t>
      </w:r>
      <w:r>
        <w:rPr>
          <w:spacing w:val="-14"/>
        </w:rPr>
        <w:t>施后，并且在厂房墙体、门窗隔声和距离衰减等综合作用下，项目生产运营时产</w:t>
      </w:r>
      <w:r>
        <w:rPr>
          <w:spacing w:val="13"/>
        </w:rPr>
        <w:t xml:space="preserve"> </w:t>
      </w:r>
      <w:r>
        <w:rPr>
          <w:spacing w:val="-8"/>
        </w:rPr>
        <w:t>生的噪声可达到《工业企业厂界环境噪声排放标</w:t>
      </w:r>
      <w:r>
        <w:rPr>
          <w:rFonts w:ascii="Times New Roman" w:hAnsi="Times New Roman" w:eastAsia="Times New Roman" w:cs="Times New Roman"/>
          <w:spacing w:val="-8"/>
        </w:rPr>
        <w:t>(GB12348-2008)2</w:t>
      </w:r>
      <w:r>
        <w:rPr>
          <w:rFonts w:ascii="Times New Roman" w:hAnsi="Times New Roman" w:eastAsia="Times New Roman" w:cs="Times New Roman"/>
          <w:spacing w:val="31"/>
          <w:w w:val="101"/>
        </w:rPr>
        <w:t xml:space="preserve"> </w:t>
      </w:r>
      <w:r>
        <w:rPr>
          <w:spacing w:val="-8"/>
        </w:rPr>
        <w:t>类标准要求。</w:t>
      </w:r>
    </w:p>
    <w:p w14:paraId="0E2C4A09">
      <w:pPr>
        <w:pStyle w:val="2"/>
        <w:spacing w:before="69" w:line="220" w:lineRule="auto"/>
        <w:ind w:left="308"/>
        <w:outlineLvl w:val="0"/>
      </w:pPr>
      <w:r>
        <w:rPr>
          <w:b/>
          <w:bCs/>
          <w:spacing w:val="3"/>
        </w:rPr>
        <w:t>(四)固体废物</w:t>
      </w:r>
    </w:p>
    <w:p w14:paraId="39F953B3">
      <w:pPr>
        <w:pStyle w:val="2"/>
        <w:spacing w:before="157" w:line="337" w:lineRule="auto"/>
        <w:ind w:left="155" w:right="1969" w:firstLine="439"/>
        <w:jc w:val="both"/>
      </w:pPr>
      <w:r>
        <w:rPr>
          <w:spacing w:val="-13"/>
        </w:rPr>
        <w:t>生活垃圾由环卫部门统一清运处理；一般工业固废分类收</w:t>
      </w:r>
      <w:r>
        <w:rPr>
          <w:spacing w:val="-14"/>
        </w:rPr>
        <w:t>集后交由深圳市鸿</w:t>
      </w:r>
      <w:r>
        <w:t xml:space="preserve"> </w:t>
      </w:r>
      <w:r>
        <w:rPr>
          <w:spacing w:val="-13"/>
        </w:rPr>
        <w:t>运源再生资源有限公司回收处置；项目危险废物委托深圳市东部生态产</w:t>
      </w:r>
      <w:r>
        <w:rPr>
          <w:spacing w:val="-14"/>
        </w:rPr>
        <w:t>业园有限</w:t>
      </w:r>
      <w:r>
        <w:t xml:space="preserve"> </w:t>
      </w:r>
      <w:r>
        <w:rPr>
          <w:spacing w:val="-12"/>
        </w:rPr>
        <w:t>公司定期拉运处理，不外排，并签订危险废物处理协议。</w:t>
      </w:r>
    </w:p>
    <w:p w14:paraId="112C7654">
      <w:pPr>
        <w:pStyle w:val="2"/>
        <w:spacing w:before="41" w:line="220" w:lineRule="auto"/>
        <w:ind w:left="748"/>
        <w:outlineLvl w:val="0"/>
      </w:pPr>
      <w:r>
        <w:rPr>
          <w:b/>
          <w:bCs/>
          <w:spacing w:val="-1"/>
        </w:rPr>
        <w:t>(五)其他环境保护设施</w:t>
      </w:r>
    </w:p>
    <w:p w14:paraId="75F64A73">
      <w:pPr>
        <w:pStyle w:val="2"/>
        <w:spacing w:before="164" w:line="220" w:lineRule="auto"/>
        <w:ind w:left="598"/>
        <w:outlineLvl w:val="0"/>
      </w:pPr>
      <w:r>
        <w:rPr>
          <w:b/>
          <w:bCs/>
          <w:spacing w:val="-12"/>
        </w:rPr>
        <w:t>1、环境风险防范设施</w:t>
      </w:r>
    </w:p>
    <w:p w14:paraId="5672A5F2">
      <w:pPr>
        <w:pStyle w:val="2"/>
        <w:spacing w:before="174" w:line="217" w:lineRule="auto"/>
        <w:ind w:left="595"/>
      </w:pPr>
      <w:r>
        <w:rPr>
          <w:spacing w:val="-11"/>
        </w:rPr>
        <w:t>①</w:t>
      </w:r>
      <w:r>
        <w:rPr>
          <w:spacing w:val="98"/>
        </w:rPr>
        <w:t xml:space="preserve"> </w:t>
      </w:r>
      <w:r>
        <w:rPr>
          <w:spacing w:val="-11"/>
        </w:rPr>
        <w:t>专门制定涉及化学品各潜在出险环节的管理和技术规</w:t>
      </w:r>
      <w:r>
        <w:rPr>
          <w:spacing w:val="-12"/>
        </w:rPr>
        <w:t>定；</w:t>
      </w:r>
    </w:p>
    <w:p w14:paraId="43FF301D">
      <w:pPr>
        <w:pStyle w:val="2"/>
        <w:spacing w:before="168" w:line="217" w:lineRule="auto"/>
        <w:ind w:left="595"/>
      </w:pPr>
      <w:r>
        <w:rPr>
          <w:spacing w:val="-12"/>
        </w:rPr>
        <w:t>②</w:t>
      </w:r>
      <w:r>
        <w:rPr>
          <w:spacing w:val="112"/>
        </w:rPr>
        <w:t xml:space="preserve"> </w:t>
      </w:r>
      <w:r>
        <w:rPr>
          <w:spacing w:val="-12"/>
        </w:rPr>
        <w:t>训练有关人员熟知各接触化学品性质的知识；</w:t>
      </w:r>
    </w:p>
    <w:p w14:paraId="5E3005F3">
      <w:pPr>
        <w:pStyle w:val="2"/>
        <w:spacing w:before="175" w:line="314" w:lineRule="auto"/>
        <w:ind w:left="155" w:right="1862" w:firstLine="439"/>
      </w:pPr>
      <w:r>
        <w:rPr>
          <w:spacing w:val="-9"/>
        </w:rPr>
        <w:t>③</w:t>
      </w:r>
      <w:r>
        <w:rPr>
          <w:spacing w:val="107"/>
        </w:rPr>
        <w:t xml:space="preserve"> </w:t>
      </w:r>
      <w:r>
        <w:rPr>
          <w:spacing w:val="-9"/>
        </w:rPr>
        <w:t>化学品等辅料应存放在阴凉处，经常巡视存放</w:t>
      </w:r>
      <w:r>
        <w:rPr>
          <w:spacing w:val="-10"/>
        </w:rPr>
        <w:t>点、容器等的安全状况；</w:t>
      </w:r>
      <w:r>
        <w:t xml:space="preserve"> </w:t>
      </w:r>
      <w:r>
        <w:rPr>
          <w:spacing w:val="-13"/>
        </w:rPr>
        <w:t>操作区提供化学品安全数据清单，对化学品进行标识和安全警示</w:t>
      </w:r>
      <w:r>
        <w:rPr>
          <w:spacing w:val="-14"/>
        </w:rPr>
        <w:t>，供员工了解其</w:t>
      </w:r>
      <w:r>
        <w:t xml:space="preserve">  </w:t>
      </w:r>
      <w:r>
        <w:rPr>
          <w:spacing w:val="-13"/>
        </w:rPr>
        <w:t>物化特性和防护要点。组织危险化学品安全操作培训。装载液体、半</w:t>
      </w:r>
      <w:r>
        <w:rPr>
          <w:spacing w:val="-14"/>
        </w:rPr>
        <w:t>固体危险废</w:t>
      </w:r>
      <w:r>
        <w:t xml:space="preserve">  </w:t>
      </w:r>
      <w:r>
        <w:rPr>
          <w:spacing w:val="-6"/>
        </w:rPr>
        <w:t>物的容器内须留足够空间，容器顶部与液体表</w:t>
      </w:r>
      <w:r>
        <w:rPr>
          <w:spacing w:val="-7"/>
        </w:rPr>
        <w:t>面之间保留100毫米以上的空间，</w:t>
      </w:r>
      <w:r>
        <w:t xml:space="preserve"> </w:t>
      </w:r>
      <w:r>
        <w:rPr>
          <w:spacing w:val="-10"/>
        </w:rPr>
        <w:t>液态危废需将盛装容器放至防泄漏托盘(或围堰)内并在容器粘贴危险废物标签。</w:t>
      </w:r>
    </w:p>
    <w:p w14:paraId="25AA6B2A">
      <w:pPr>
        <w:pStyle w:val="2"/>
        <w:spacing w:before="152" w:line="299" w:lineRule="auto"/>
        <w:ind w:left="155" w:right="1968" w:firstLine="439"/>
      </w:pPr>
      <w:r>
        <w:drawing>
          <wp:anchor distT="0" distB="0" distL="0" distR="0" simplePos="0" relativeHeight="251661312" behindDoc="0" locked="0" layoutInCell="1" allowOverlap="1">
            <wp:simplePos x="0" y="0"/>
            <wp:positionH relativeFrom="column">
              <wp:posOffset>6129020</wp:posOffset>
            </wp:positionH>
            <wp:positionV relativeFrom="paragraph">
              <wp:posOffset>167640</wp:posOffset>
            </wp:positionV>
            <wp:extent cx="263525" cy="14103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263303" cy="1410544"/>
                    </a:xfrm>
                    <a:prstGeom prst="rect">
                      <a:avLst/>
                    </a:prstGeom>
                  </pic:spPr>
                </pic:pic>
              </a:graphicData>
            </a:graphic>
          </wp:anchor>
        </w:drawing>
      </w:r>
      <w:r>
        <w:rPr>
          <w:spacing w:val="-13"/>
        </w:rPr>
        <w:t>④</w:t>
      </w:r>
      <w:r>
        <w:rPr>
          <w:spacing w:val="114"/>
        </w:rPr>
        <w:t xml:space="preserve"> </w:t>
      </w:r>
      <w:r>
        <w:rPr>
          <w:spacing w:val="-13"/>
        </w:rPr>
        <w:t>在日常生产过程中，要加强环保处理设施的故障排查和维护，从源头上</w:t>
      </w:r>
      <w:r>
        <w:t xml:space="preserve"> </w:t>
      </w:r>
      <w:r>
        <w:rPr>
          <w:spacing w:val="-13"/>
        </w:rPr>
        <w:t>杜绝污染物事故排放。若发现项目废气处理设施出现故障，应立即停止响</w:t>
      </w:r>
      <w:r>
        <w:rPr>
          <w:spacing w:val="-14"/>
        </w:rPr>
        <w:t>应工序</w:t>
      </w:r>
      <w:r>
        <w:t xml:space="preserve"> </w:t>
      </w:r>
      <w:r>
        <w:rPr>
          <w:spacing w:val="-11"/>
        </w:rPr>
        <w:t>生产并立刻采取必要的措施，降低事故排放对环境和人群健康的不利影响。</w:t>
      </w:r>
    </w:p>
    <w:p w14:paraId="2CA74EC4">
      <w:pPr>
        <w:pStyle w:val="2"/>
        <w:spacing w:before="154" w:line="266" w:lineRule="auto"/>
        <w:ind w:left="285" w:right="1962" w:firstLine="309"/>
      </w:pPr>
      <w:r>
        <w:rPr>
          <w:spacing w:val="29"/>
        </w:rPr>
        <w:t>⑤</w:t>
      </w:r>
      <w:r>
        <w:rPr>
          <w:spacing w:val="125"/>
        </w:rPr>
        <w:t xml:space="preserve"> </w:t>
      </w:r>
      <w:r>
        <w:rPr>
          <w:spacing w:val="29"/>
        </w:rPr>
        <w:t>危险废物暂存处严格按国家《危险废物贮存污染控制标准》</w:t>
      </w:r>
      <w:r>
        <w:t xml:space="preserve"> </w:t>
      </w: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18597-2001)</w:t>
      </w:r>
      <w:r>
        <w:rPr>
          <w:rFonts w:ascii="Times New Roman" w:hAnsi="Times New Roman" w:eastAsia="Times New Roman" w:cs="Times New Roman"/>
          <w:spacing w:val="37"/>
          <w:w w:val="101"/>
        </w:rPr>
        <w:t xml:space="preserve"> </w:t>
      </w:r>
      <w:r>
        <w:rPr>
          <w:spacing w:val="2"/>
        </w:rPr>
        <w:t>及国家污染物控制</w:t>
      </w:r>
      <w:r>
        <w:rPr>
          <w:spacing w:val="1"/>
        </w:rPr>
        <w:t>标准修改单(2013年)的要求设置，即要</w:t>
      </w:r>
    </w:p>
    <w:p w14:paraId="6691228D">
      <w:pPr>
        <w:pStyle w:val="2"/>
        <w:spacing w:before="188" w:line="334" w:lineRule="auto"/>
        <w:ind w:left="155" w:right="1962"/>
        <w:jc w:val="both"/>
      </w:pPr>
      <w:r>
        <w:rPr>
          <w:spacing w:val="-13"/>
        </w:rPr>
        <w:t>使用专用储存设施，并将危险废物装入专用容器中，无法装入常用容</w:t>
      </w:r>
      <w:r>
        <w:rPr>
          <w:spacing w:val="-14"/>
        </w:rPr>
        <w:t>器的危险废</w:t>
      </w:r>
      <w:r>
        <w:t xml:space="preserve"> </w:t>
      </w:r>
      <w:r>
        <w:rPr>
          <w:spacing w:val="-13"/>
        </w:rPr>
        <w:t>物可用防漏胶袋等盛装，盛装危险废物的容器和胶带必须贴符合</w:t>
      </w:r>
      <w:r>
        <w:rPr>
          <w:spacing w:val="-14"/>
        </w:rPr>
        <w:t>《危险废物贮存</w:t>
      </w:r>
      <w:r>
        <w:t xml:space="preserve"> </w:t>
      </w:r>
      <w:r>
        <w:rPr>
          <w:spacing w:val="-4"/>
        </w:rPr>
        <w:t>污染控制标准》</w:t>
      </w:r>
      <w:r>
        <w:rPr>
          <w:spacing w:val="-59"/>
        </w:rPr>
        <w:t xml:space="preserve"> </w:t>
      </w:r>
      <w:r>
        <w:rPr>
          <w:rFonts w:ascii="Times New Roman" w:hAnsi="Times New Roman" w:eastAsia="Times New Roman" w:cs="Times New Roman"/>
          <w:spacing w:val="-4"/>
        </w:rPr>
        <w:t xml:space="preserve">(GB18597-2001)  </w:t>
      </w:r>
      <w:r>
        <w:rPr>
          <w:spacing w:val="-4"/>
        </w:rPr>
        <w:t>附录</w:t>
      </w:r>
      <w:r>
        <w:rPr>
          <w:rFonts w:ascii="Times New Roman" w:hAnsi="Times New Roman" w:eastAsia="Times New Roman" w:cs="Times New Roman"/>
          <w:spacing w:val="-4"/>
        </w:rPr>
        <w:t xml:space="preserve">A  </w:t>
      </w:r>
      <w:r>
        <w:rPr>
          <w:spacing w:val="-4"/>
        </w:rPr>
        <w:t>所示的标签等，防止造成二次</w:t>
      </w:r>
      <w:r>
        <w:rPr>
          <w:spacing w:val="-5"/>
        </w:rPr>
        <w:t>污染，</w:t>
      </w:r>
      <w:r>
        <w:t xml:space="preserve"> </w:t>
      </w:r>
      <w:r>
        <w:rPr>
          <w:spacing w:val="-13"/>
        </w:rPr>
        <w:t>地面进行防渗处理。在正常情况下，项目产生的危险废物收集后委托</w:t>
      </w:r>
      <w:r>
        <w:rPr>
          <w:spacing w:val="-14"/>
        </w:rPr>
        <w:t>具有危险废</w:t>
      </w:r>
      <w:r>
        <w:t xml:space="preserve"> </w:t>
      </w:r>
      <w:r>
        <w:rPr>
          <w:spacing w:val="-13"/>
        </w:rPr>
        <w:t>物经营许可证单位处理处置，不会对周围环境产生大的污染影响</w:t>
      </w:r>
      <w:r>
        <w:rPr>
          <w:spacing w:val="-14"/>
        </w:rPr>
        <w:t>。危险废物储存</w:t>
      </w:r>
      <w:r>
        <w:t xml:space="preserve"> </w:t>
      </w:r>
      <w:r>
        <w:rPr>
          <w:spacing w:val="4"/>
        </w:rPr>
        <w:t>场所做到“三防”(即防渗漏，防雨淋和防流失)的要求(设置围堰等),危险</w:t>
      </w:r>
      <w:r>
        <w:t xml:space="preserve"> </w:t>
      </w:r>
      <w:r>
        <w:rPr>
          <w:spacing w:val="-11"/>
        </w:rPr>
        <w:t>废物暂存区处贴有危险废物图片警告标识，包装容器密封、有盖。</w:t>
      </w:r>
    </w:p>
    <w:p w14:paraId="454FDB74">
      <w:pPr>
        <w:pStyle w:val="2"/>
        <w:spacing w:before="171" w:line="217" w:lineRule="auto"/>
        <w:ind w:left="595"/>
      </w:pPr>
      <w:r>
        <w:rPr>
          <w:spacing w:val="-12"/>
        </w:rPr>
        <w:t>⑥</w:t>
      </w:r>
      <w:r>
        <w:rPr>
          <w:spacing w:val="98"/>
        </w:rPr>
        <w:t xml:space="preserve"> </w:t>
      </w:r>
      <w:r>
        <w:rPr>
          <w:spacing w:val="-12"/>
        </w:rPr>
        <w:t>一旦发生火灾、爆炸事故，事故废液中将会含有泄漏化学品物质，及时</w:t>
      </w:r>
    </w:p>
    <w:p w14:paraId="4813DD81">
      <w:pPr>
        <w:spacing w:line="217" w:lineRule="auto"/>
        <w:sectPr>
          <w:footerReference r:id="rId7" w:type="default"/>
          <w:pgSz w:w="11900" w:h="16840"/>
          <w:pgMar w:top="1431" w:right="47" w:bottom="1300" w:left="1785" w:header="0" w:footer="1183" w:gutter="0"/>
          <w:cols w:space="720" w:num="1"/>
        </w:sectPr>
      </w:pPr>
    </w:p>
    <w:p w14:paraId="04BD093D">
      <w:pPr>
        <w:spacing w:line="389" w:lineRule="auto"/>
        <w:rPr>
          <w:rFonts w:ascii="Arial"/>
          <w:sz w:val="21"/>
        </w:rPr>
      </w:pPr>
    </w:p>
    <w:p w14:paraId="64D4D1DD">
      <w:pPr>
        <w:pStyle w:val="2"/>
        <w:spacing w:before="78" w:line="333" w:lineRule="auto"/>
        <w:ind w:left="185" w:right="1737"/>
        <w:jc w:val="both"/>
      </w:pPr>
      <w:r>
        <w:rPr>
          <w:spacing w:val="-14"/>
        </w:rPr>
        <w:t>收集，防止废液进入周边地表水。由于项目使用的化学品量较小，当发生火灾爆</w:t>
      </w:r>
      <w:r>
        <w:rPr>
          <w:spacing w:val="7"/>
        </w:rPr>
        <w:t xml:space="preserve"> </w:t>
      </w:r>
      <w:r>
        <w:rPr>
          <w:spacing w:val="-14"/>
        </w:rPr>
        <w:t>炸事故时，采用灭火器进行灭火，化学品可通过置换桶暂存，最终委托有危废资</w:t>
      </w:r>
      <w:r>
        <w:rPr>
          <w:spacing w:val="15"/>
        </w:rPr>
        <w:t xml:space="preserve"> </w:t>
      </w:r>
      <w:r>
        <w:rPr>
          <w:spacing w:val="-14"/>
        </w:rPr>
        <w:t>质的公司处理，确保事故下不对周围水环境造成影响，杜绝事故性废液排放。若</w:t>
      </w:r>
      <w:r>
        <w:rPr>
          <w:spacing w:val="10"/>
        </w:rPr>
        <w:t xml:space="preserve"> </w:t>
      </w:r>
      <w:r>
        <w:rPr>
          <w:spacing w:val="-13"/>
        </w:rPr>
        <w:t>厂区内发生火灾事故，建设单位将关闭雨水闸，</w:t>
      </w:r>
      <w:r>
        <w:rPr>
          <w:spacing w:val="-14"/>
        </w:rPr>
        <w:t>用应急沙包围堵消防废水，将消</w:t>
      </w:r>
      <w:r>
        <w:t xml:space="preserve"> </w:t>
      </w:r>
      <w:r>
        <w:rPr>
          <w:spacing w:val="-13"/>
        </w:rPr>
        <w:t>防废水用桶收集后交由有资质单位拉运。</w:t>
      </w:r>
    </w:p>
    <w:p w14:paraId="7EEC3180">
      <w:pPr>
        <w:pStyle w:val="2"/>
        <w:spacing w:before="91" w:line="220" w:lineRule="auto"/>
        <w:ind w:left="628"/>
        <w:outlineLvl w:val="0"/>
      </w:pPr>
      <w:r>
        <w:rPr>
          <w:b/>
          <w:bCs/>
          <w:spacing w:val="-11"/>
        </w:rPr>
        <w:t>2、在线监测装置</w:t>
      </w:r>
    </w:p>
    <w:p w14:paraId="50B69E03">
      <w:pPr>
        <w:pStyle w:val="2"/>
        <w:spacing w:before="157" w:line="220" w:lineRule="auto"/>
        <w:ind w:left="624"/>
      </w:pPr>
      <w:r>
        <w:rPr>
          <w:spacing w:val="-12"/>
        </w:rPr>
        <w:t>无。</w:t>
      </w:r>
    </w:p>
    <w:p w14:paraId="6E27BBA3">
      <w:pPr>
        <w:pStyle w:val="2"/>
        <w:spacing w:before="160" w:line="220" w:lineRule="auto"/>
        <w:ind w:left="628"/>
        <w:outlineLvl w:val="0"/>
      </w:pPr>
      <w:r>
        <w:rPr>
          <w:b/>
          <w:bCs/>
          <w:spacing w:val="-23"/>
        </w:rPr>
        <w:t>3、其</w:t>
      </w:r>
      <w:r>
        <w:rPr>
          <w:spacing w:val="-48"/>
        </w:rPr>
        <w:t xml:space="preserve"> </w:t>
      </w:r>
      <w:r>
        <w:rPr>
          <w:b/>
          <w:bCs/>
          <w:spacing w:val="-23"/>
        </w:rPr>
        <w:t>他</w:t>
      </w:r>
    </w:p>
    <w:p w14:paraId="34BEE35D">
      <w:pPr>
        <w:pStyle w:val="2"/>
        <w:spacing w:before="167" w:line="220" w:lineRule="auto"/>
        <w:ind w:left="624"/>
      </w:pPr>
      <w:r>
        <w:rPr>
          <w:spacing w:val="-12"/>
        </w:rPr>
        <w:t>无。</w:t>
      </w:r>
    </w:p>
    <w:p w14:paraId="2AD87150">
      <w:pPr>
        <w:pStyle w:val="2"/>
        <w:spacing w:before="150" w:line="219" w:lineRule="auto"/>
        <w:ind w:left="628"/>
        <w:outlineLvl w:val="0"/>
      </w:pPr>
      <w:r>
        <w:rPr>
          <w:b/>
          <w:bCs/>
          <w:spacing w:val="-17"/>
        </w:rPr>
        <w:t>四、验收结论</w:t>
      </w:r>
    </w:p>
    <w:p w14:paraId="58EC73E4">
      <w:pPr>
        <w:pStyle w:val="2"/>
        <w:spacing w:before="166" w:line="338" w:lineRule="auto"/>
        <w:ind w:left="185" w:right="1730" w:firstLine="439"/>
        <w:jc w:val="both"/>
      </w:pPr>
      <w:r>
        <w:rPr>
          <w:spacing w:val="-6"/>
        </w:rPr>
        <w:t>建设单位依法落实环评报告中的各项污染防治措施，</w:t>
      </w:r>
      <w:r>
        <w:rPr>
          <w:spacing w:val="-7"/>
        </w:rPr>
        <w:t>环保设施总体质量合</w:t>
      </w:r>
      <w:r>
        <w:t xml:space="preserve"> </w:t>
      </w:r>
      <w:r>
        <w:rPr>
          <w:spacing w:val="-13"/>
        </w:rPr>
        <w:t>格，经专业机构监测达标，符合环境保护验收的条件，同意该项</w:t>
      </w:r>
      <w:r>
        <w:rPr>
          <w:spacing w:val="-14"/>
        </w:rPr>
        <w:t>目通过竣工环境</w:t>
      </w:r>
      <w:r>
        <w:t xml:space="preserve"> </w:t>
      </w:r>
      <w:r>
        <w:rPr>
          <w:spacing w:val="-13"/>
        </w:rPr>
        <w:t>保护验收。</w:t>
      </w:r>
    </w:p>
    <w:p w14:paraId="74A90AAA">
      <w:pPr>
        <w:pStyle w:val="2"/>
        <w:spacing w:before="41" w:line="220" w:lineRule="auto"/>
        <w:ind w:left="628"/>
        <w:outlineLvl w:val="0"/>
      </w:pPr>
      <w:r>
        <w:rPr>
          <w:b/>
          <w:bCs/>
          <w:spacing w:val="-13"/>
        </w:rPr>
        <w:t>五、后续建议</w:t>
      </w:r>
    </w:p>
    <w:p w14:paraId="1BC3A66D">
      <w:pPr>
        <w:pStyle w:val="2"/>
        <w:spacing w:before="159" w:line="314" w:lineRule="auto"/>
        <w:ind w:left="185" w:right="1660" w:firstLine="439"/>
      </w:pPr>
      <w:r>
        <w:rPr>
          <w:spacing w:val="-10"/>
        </w:rPr>
        <w:t>1、提高环境保护法律法规意识，强化操作人员岗位培训。建立规范化环保</w:t>
      </w:r>
      <w:r>
        <w:rPr>
          <w:spacing w:val="7"/>
        </w:rPr>
        <w:t xml:space="preserve"> </w:t>
      </w:r>
      <w:r>
        <w:rPr>
          <w:spacing w:val="-14"/>
        </w:rPr>
        <w:t>设施运行管理制度，包括污染治理设施和排污口规范化建设和管理。严格按规程</w:t>
      </w:r>
      <w:r>
        <w:rPr>
          <w:spacing w:val="6"/>
        </w:rPr>
        <w:t xml:space="preserve"> </w:t>
      </w:r>
      <w:r>
        <w:rPr>
          <w:spacing w:val="-18"/>
        </w:rPr>
        <w:t>运行环保设施并定期维护保养，建立设施运行台帐，确保环保设施长期稳定运行，</w:t>
      </w:r>
      <w:r>
        <w:rPr>
          <w:spacing w:val="16"/>
        </w:rPr>
        <w:t xml:space="preserve"> </w:t>
      </w:r>
      <w:r>
        <w:rPr>
          <w:spacing w:val="-13"/>
        </w:rPr>
        <w:t>确保污染物达标排放，杜绝事故排放。</w:t>
      </w:r>
    </w:p>
    <w:p w14:paraId="196F6C64">
      <w:pPr>
        <w:pStyle w:val="2"/>
        <w:spacing w:before="154" w:line="299" w:lineRule="auto"/>
        <w:ind w:left="185" w:right="1744" w:firstLine="439"/>
      </w:pPr>
      <w:r>
        <w:drawing>
          <wp:anchor distT="0" distB="0" distL="0" distR="0" simplePos="0" relativeHeight="251662336" behindDoc="0" locked="0" layoutInCell="1" allowOverlap="1">
            <wp:simplePos x="0" y="0"/>
            <wp:positionH relativeFrom="column">
              <wp:posOffset>5991225</wp:posOffset>
            </wp:positionH>
            <wp:positionV relativeFrom="paragraph">
              <wp:posOffset>445770</wp:posOffset>
            </wp:positionV>
            <wp:extent cx="266700" cy="10490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266654" cy="1049050"/>
                    </a:xfrm>
                    <a:prstGeom prst="rect">
                      <a:avLst/>
                    </a:prstGeom>
                  </pic:spPr>
                </pic:pic>
              </a:graphicData>
            </a:graphic>
          </wp:anchor>
        </w:drawing>
      </w:r>
      <w:r>
        <w:rPr>
          <w:spacing w:val="-17"/>
        </w:rPr>
        <w:t>2、加强各类环保设施日常维护和管理，确保环保设施正常运行，并按照《排</w:t>
      </w:r>
      <w:r>
        <w:rPr>
          <w:spacing w:val="15"/>
        </w:rPr>
        <w:t xml:space="preserve"> </w:t>
      </w:r>
      <w:r>
        <w:rPr>
          <w:spacing w:val="-5"/>
        </w:rPr>
        <w:t>污单位自行监测技术指南总则》</w:t>
      </w:r>
      <w:r>
        <w:rPr>
          <w:rFonts w:ascii="Times New Roman" w:hAnsi="Times New Roman" w:eastAsia="Times New Roman" w:cs="Times New Roman"/>
          <w:spacing w:val="-5"/>
        </w:rPr>
        <w:t xml:space="preserve">(HJ819)  </w:t>
      </w:r>
      <w:r>
        <w:rPr>
          <w:spacing w:val="-5"/>
        </w:rPr>
        <w:t>要求，企业制定自行监测方案，定期</w:t>
      </w:r>
      <w:r>
        <w:rPr>
          <w:spacing w:val="12"/>
        </w:rPr>
        <w:t xml:space="preserve"> </w:t>
      </w:r>
      <w:r>
        <w:rPr>
          <w:spacing w:val="-12"/>
        </w:rPr>
        <w:t>开展监测，并按照《企事业单位环境信息公开管理办法》要求进行信息公开。</w:t>
      </w:r>
    </w:p>
    <w:p w14:paraId="76BEADE5">
      <w:pPr>
        <w:spacing w:line="247" w:lineRule="auto"/>
        <w:rPr>
          <w:rFonts w:ascii="Arial"/>
          <w:sz w:val="21"/>
        </w:rPr>
      </w:pPr>
    </w:p>
    <w:p w14:paraId="1130A00A">
      <w:pPr>
        <w:spacing w:line="248" w:lineRule="auto"/>
        <w:rPr>
          <w:rFonts w:ascii="Arial"/>
          <w:sz w:val="21"/>
        </w:rPr>
      </w:pPr>
    </w:p>
    <w:p w14:paraId="343792B8">
      <w:pPr>
        <w:spacing w:line="248" w:lineRule="auto"/>
        <w:rPr>
          <w:rFonts w:ascii="Arial"/>
          <w:sz w:val="21"/>
        </w:rPr>
      </w:pPr>
    </w:p>
    <w:p w14:paraId="13585C02">
      <w:pPr>
        <w:spacing w:line="248" w:lineRule="auto"/>
        <w:rPr>
          <w:rFonts w:ascii="Arial"/>
          <w:sz w:val="21"/>
        </w:rPr>
      </w:pPr>
    </w:p>
    <w:p w14:paraId="598EF154">
      <w:pPr>
        <w:pStyle w:val="2"/>
        <w:spacing w:before="78" w:line="219" w:lineRule="auto"/>
        <w:ind w:left="4925"/>
      </w:pPr>
      <w:bookmarkStart w:id="0" w:name="_GoBack"/>
      <w:r>
        <w:drawing>
          <wp:anchor distT="0" distB="0" distL="0" distR="0" simplePos="0" relativeHeight="251663360" behindDoc="0" locked="0" layoutInCell="1" allowOverlap="1">
            <wp:simplePos x="0" y="0"/>
            <wp:positionH relativeFrom="column">
              <wp:posOffset>3584575</wp:posOffset>
            </wp:positionH>
            <wp:positionV relativeFrom="paragraph">
              <wp:posOffset>-534670</wp:posOffset>
            </wp:positionV>
            <wp:extent cx="1847850" cy="15373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1848062" cy="1537540"/>
                    </a:xfrm>
                    <a:prstGeom prst="rect">
                      <a:avLst/>
                    </a:prstGeom>
                  </pic:spPr>
                </pic:pic>
              </a:graphicData>
            </a:graphic>
          </wp:anchor>
        </w:drawing>
      </w:r>
      <w:bookmarkEnd w:id="0"/>
      <w:r>
        <w:rPr>
          <w:spacing w:val="-10"/>
        </w:rPr>
        <w:t>深圳市海雷新能源股份有限公司</w:t>
      </w:r>
    </w:p>
    <w:p w14:paraId="22E2126D">
      <w:pPr>
        <w:spacing w:line="219" w:lineRule="auto"/>
        <w:sectPr>
          <w:footerReference r:id="rId8" w:type="default"/>
          <w:pgSz w:w="11900" w:h="16840"/>
          <w:pgMar w:top="1431" w:right="260" w:bottom="1279" w:left="1785" w:header="0" w:footer="1161" w:gutter="0"/>
          <w:cols w:space="720" w:num="1"/>
        </w:sectPr>
      </w:pPr>
    </w:p>
    <w:p w14:paraId="5F991197">
      <w:pPr>
        <w:spacing w:line="312" w:lineRule="auto"/>
        <w:rPr>
          <w:rFonts w:ascii="Arial"/>
          <w:sz w:val="21"/>
        </w:rPr>
      </w:pPr>
    </w:p>
    <w:p w14:paraId="566F31E7">
      <w:pPr>
        <w:spacing w:line="312" w:lineRule="auto"/>
        <w:rPr>
          <w:rFonts w:ascii="Arial"/>
          <w:sz w:val="21"/>
        </w:rPr>
      </w:pPr>
    </w:p>
    <w:p w14:paraId="7CAD3070">
      <w:pPr>
        <w:spacing w:line="312" w:lineRule="auto"/>
        <w:rPr>
          <w:rFonts w:ascii="Arial"/>
          <w:sz w:val="21"/>
        </w:rPr>
      </w:pPr>
    </w:p>
    <w:p w14:paraId="50FDA7C1">
      <w:pPr>
        <w:pStyle w:val="2"/>
        <w:spacing w:before="124" w:line="219" w:lineRule="auto"/>
        <w:ind w:left="4550"/>
        <w:rPr>
          <w:sz w:val="38"/>
          <w:szCs w:val="38"/>
        </w:rPr>
      </w:pPr>
      <w:r>
        <w:rPr>
          <w:b/>
          <w:bCs/>
          <w:spacing w:val="-17"/>
          <w:sz w:val="38"/>
          <w:szCs w:val="38"/>
        </w:rPr>
        <w:t>深圳市海雷新能源股份有限公司扩建项目</w:t>
      </w:r>
    </w:p>
    <w:p w14:paraId="0C4E45B3">
      <w:pPr>
        <w:spacing w:line="263" w:lineRule="auto"/>
        <w:rPr>
          <w:rFonts w:ascii="Arial"/>
          <w:sz w:val="21"/>
        </w:rPr>
      </w:pPr>
    </w:p>
    <w:p w14:paraId="4C46780A">
      <w:pPr>
        <w:pStyle w:val="2"/>
        <w:spacing w:before="124" w:line="214" w:lineRule="auto"/>
        <w:ind w:left="4735"/>
        <w:rPr>
          <w:sz w:val="38"/>
          <w:szCs w:val="38"/>
        </w:rPr>
      </w:pPr>
      <w:r>
        <w:rPr>
          <w:position w:val="-9"/>
          <w:sz w:val="38"/>
          <w:szCs w:val="38"/>
        </w:rPr>
        <w:drawing>
          <wp:inline distT="0" distB="0" distL="0" distR="0">
            <wp:extent cx="100965" cy="1016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101563" cy="101615"/>
                    </a:xfrm>
                    <a:prstGeom prst="rect">
                      <a:avLst/>
                    </a:prstGeom>
                  </pic:spPr>
                </pic:pic>
              </a:graphicData>
            </a:graphic>
          </wp:inline>
        </w:drawing>
      </w:r>
      <w:r>
        <w:rPr>
          <w:spacing w:val="73"/>
          <w:sz w:val="38"/>
          <w:szCs w:val="38"/>
        </w:rPr>
        <w:t xml:space="preserve">  </w:t>
      </w:r>
      <w:r>
        <w:rPr>
          <w:b/>
          <w:bCs/>
          <w:spacing w:val="-13"/>
          <w:sz w:val="38"/>
          <w:szCs w:val="38"/>
        </w:rPr>
        <w:t>竣工环境保护设施验收签到表</w:t>
      </w:r>
    </w:p>
    <w:p w14:paraId="5D0ED080">
      <w:pPr>
        <w:spacing w:before="53"/>
      </w:pPr>
    </w:p>
    <w:tbl>
      <w:tblPr>
        <w:tblStyle w:val="5"/>
        <w:tblW w:w="15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3"/>
        <w:gridCol w:w="1979"/>
        <w:gridCol w:w="5097"/>
        <w:gridCol w:w="1769"/>
        <w:gridCol w:w="2378"/>
        <w:gridCol w:w="2014"/>
      </w:tblGrid>
      <w:tr w14:paraId="2DD4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trPr>
        <w:tc>
          <w:tcPr>
            <w:tcW w:w="2513" w:type="dxa"/>
            <w:vAlign w:val="top"/>
          </w:tcPr>
          <w:p w14:paraId="5EBD420E">
            <w:pPr>
              <w:pStyle w:val="6"/>
              <w:spacing w:before="267" w:line="219" w:lineRule="auto"/>
              <w:ind w:left="525"/>
            </w:pPr>
            <w:r>
              <w:rPr>
                <w:spacing w:val="7"/>
              </w:rPr>
              <w:t>验收组成员</w:t>
            </w:r>
          </w:p>
        </w:tc>
        <w:tc>
          <w:tcPr>
            <w:tcW w:w="1979" w:type="dxa"/>
            <w:vAlign w:val="top"/>
          </w:tcPr>
          <w:p w14:paraId="5F470AA0">
            <w:pPr>
              <w:pStyle w:val="6"/>
              <w:spacing w:before="267" w:line="219" w:lineRule="auto"/>
              <w:ind w:left="622"/>
            </w:pPr>
            <w:r>
              <w:rPr>
                <w:spacing w:val="18"/>
              </w:rPr>
              <w:t>姓名</w:t>
            </w:r>
          </w:p>
        </w:tc>
        <w:tc>
          <w:tcPr>
            <w:tcW w:w="5097" w:type="dxa"/>
            <w:vAlign w:val="top"/>
          </w:tcPr>
          <w:p w14:paraId="6CD4484E">
            <w:pPr>
              <w:pStyle w:val="6"/>
              <w:spacing w:before="267" w:line="220" w:lineRule="auto"/>
              <w:ind w:left="1963"/>
            </w:pPr>
            <w:r>
              <w:rPr>
                <w:spacing w:val="3"/>
              </w:rPr>
              <w:t>单位名称</w:t>
            </w:r>
          </w:p>
        </w:tc>
        <w:tc>
          <w:tcPr>
            <w:tcW w:w="1769" w:type="dxa"/>
            <w:vAlign w:val="top"/>
          </w:tcPr>
          <w:p w14:paraId="51AB9F9D">
            <w:pPr>
              <w:pStyle w:val="6"/>
              <w:spacing w:before="267" w:line="219" w:lineRule="auto"/>
              <w:ind w:left="166"/>
            </w:pPr>
            <w:r>
              <w:rPr>
                <w:spacing w:val="1"/>
              </w:rPr>
              <w:t>职务/职称</w:t>
            </w:r>
          </w:p>
        </w:tc>
        <w:tc>
          <w:tcPr>
            <w:tcW w:w="2378" w:type="dxa"/>
            <w:vAlign w:val="top"/>
          </w:tcPr>
          <w:p w14:paraId="3FD42673">
            <w:pPr>
              <w:pStyle w:val="6"/>
              <w:spacing w:before="270" w:line="221" w:lineRule="auto"/>
              <w:ind w:left="877"/>
            </w:pPr>
            <w:r>
              <w:rPr>
                <w:spacing w:val="5"/>
              </w:rPr>
              <w:t>电话</w:t>
            </w:r>
          </w:p>
        </w:tc>
        <w:tc>
          <w:tcPr>
            <w:tcW w:w="2014" w:type="dxa"/>
            <w:vAlign w:val="top"/>
          </w:tcPr>
          <w:p w14:paraId="50B6C2C9">
            <w:pPr>
              <w:pStyle w:val="6"/>
              <w:spacing w:before="272" w:line="223" w:lineRule="auto"/>
              <w:ind w:left="729"/>
            </w:pPr>
            <w:r>
              <w:rPr>
                <w:spacing w:val="18"/>
              </w:rPr>
              <w:t>签名</w:t>
            </w:r>
          </w:p>
        </w:tc>
      </w:tr>
      <w:tr w14:paraId="02C1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2513" w:type="dxa"/>
            <w:vAlign w:val="top"/>
          </w:tcPr>
          <w:p w14:paraId="27EA4F56">
            <w:pPr>
              <w:pStyle w:val="6"/>
              <w:spacing w:before="171" w:line="319" w:lineRule="auto"/>
              <w:ind w:left="665" w:right="7" w:hanging="650"/>
            </w:pPr>
            <w:r>
              <w:rPr>
                <w:spacing w:val="1"/>
              </w:rPr>
              <w:t>建设单位/验收报告</w:t>
            </w:r>
            <w:r>
              <w:rPr>
                <w:spacing w:val="5"/>
              </w:rPr>
              <w:t xml:space="preserve"> </w:t>
            </w:r>
            <w:r>
              <w:rPr>
                <w:spacing w:val="2"/>
              </w:rPr>
              <w:t>编制单位</w:t>
            </w:r>
          </w:p>
        </w:tc>
        <w:tc>
          <w:tcPr>
            <w:tcW w:w="1979" w:type="dxa"/>
            <w:vAlign w:val="top"/>
          </w:tcPr>
          <w:p w14:paraId="56AF2E01">
            <w:pPr>
              <w:spacing w:before="212" w:line="760" w:lineRule="exact"/>
              <w:ind w:firstLine="352"/>
            </w:pPr>
            <w:r>
              <w:rPr>
                <w:position w:val="-15"/>
              </w:rPr>
              <w:drawing>
                <wp:inline distT="0" distB="0" distL="0" distR="0">
                  <wp:extent cx="831850" cy="4819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831934" cy="482595"/>
                          </a:xfrm>
                          <a:prstGeom prst="rect">
                            <a:avLst/>
                          </a:prstGeom>
                        </pic:spPr>
                      </pic:pic>
                    </a:graphicData>
                  </a:graphic>
                </wp:inline>
              </w:drawing>
            </w:r>
          </w:p>
        </w:tc>
        <w:tc>
          <w:tcPr>
            <w:tcW w:w="5097" w:type="dxa"/>
            <w:vAlign w:val="top"/>
          </w:tcPr>
          <w:p w14:paraId="14D187DD">
            <w:pPr>
              <w:spacing w:line="357" w:lineRule="auto"/>
              <w:rPr>
                <w:rFonts w:ascii="Arial"/>
                <w:sz w:val="21"/>
              </w:rPr>
            </w:pPr>
          </w:p>
          <w:p w14:paraId="2ABD2346">
            <w:pPr>
              <w:pStyle w:val="6"/>
              <w:spacing w:before="94" w:line="219" w:lineRule="auto"/>
              <w:ind w:left="513"/>
            </w:pPr>
            <w:r>
              <w:rPr>
                <w:spacing w:val="2"/>
              </w:rPr>
              <w:t>深圳市海雷新能源股份有限公司</w:t>
            </w:r>
          </w:p>
        </w:tc>
        <w:tc>
          <w:tcPr>
            <w:tcW w:w="1769" w:type="dxa"/>
            <w:vAlign w:val="top"/>
          </w:tcPr>
          <w:p w14:paraId="1EF95073">
            <w:pPr>
              <w:spacing w:line="339" w:lineRule="auto"/>
              <w:rPr>
                <w:rFonts w:ascii="Arial"/>
                <w:sz w:val="21"/>
              </w:rPr>
            </w:pPr>
          </w:p>
          <w:p w14:paraId="4BBDC6A1">
            <w:pPr>
              <w:spacing w:line="600" w:lineRule="exact"/>
              <w:ind w:firstLine="56"/>
            </w:pPr>
            <w:r>
              <w:rPr>
                <w:position w:val="-11"/>
              </w:rPr>
              <w:drawing>
                <wp:inline distT="0" distB="0" distL="0" distR="0">
                  <wp:extent cx="888365" cy="3803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888966" cy="380980"/>
                          </a:xfrm>
                          <a:prstGeom prst="rect">
                            <a:avLst/>
                          </a:prstGeom>
                        </pic:spPr>
                      </pic:pic>
                    </a:graphicData>
                  </a:graphic>
                </wp:inline>
              </w:drawing>
            </w:r>
          </w:p>
        </w:tc>
        <w:tc>
          <w:tcPr>
            <w:tcW w:w="2378" w:type="dxa"/>
            <w:vAlign w:val="top"/>
          </w:tcPr>
          <w:p w14:paraId="0C2A08D0">
            <w:pPr>
              <w:spacing w:line="408" w:lineRule="auto"/>
              <w:rPr>
                <w:rFonts w:ascii="Arial"/>
                <w:sz w:val="21"/>
              </w:rPr>
            </w:pPr>
          </w:p>
          <w:p w14:paraId="538779BE">
            <w:pPr>
              <w:spacing w:line="572" w:lineRule="exact"/>
              <w:ind w:firstLine="424"/>
            </w:pPr>
            <w:r>
              <w:rPr>
                <w:position w:val="-11"/>
              </w:rPr>
              <w:drawing>
                <wp:inline distT="0" distB="0" distL="0" distR="0">
                  <wp:extent cx="1195070" cy="3625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1195408" cy="363177"/>
                          </a:xfrm>
                          <a:prstGeom prst="rect">
                            <a:avLst/>
                          </a:prstGeom>
                        </pic:spPr>
                      </pic:pic>
                    </a:graphicData>
                  </a:graphic>
                </wp:inline>
              </w:drawing>
            </w:r>
          </w:p>
        </w:tc>
        <w:tc>
          <w:tcPr>
            <w:tcW w:w="2014" w:type="dxa"/>
            <w:vAlign w:val="top"/>
          </w:tcPr>
          <w:p w14:paraId="28F12378">
            <w:pPr>
              <w:spacing w:before="202" w:line="790" w:lineRule="exact"/>
              <w:ind w:firstLine="519"/>
            </w:pPr>
            <w:r>
              <w:rPr>
                <w:position w:val="-15"/>
              </w:rPr>
              <w:drawing>
                <wp:inline distT="0" distB="0" distL="0" distR="0">
                  <wp:extent cx="837565" cy="5010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838131" cy="501648"/>
                          </a:xfrm>
                          <a:prstGeom prst="rect">
                            <a:avLst/>
                          </a:prstGeom>
                        </pic:spPr>
                      </pic:pic>
                    </a:graphicData>
                  </a:graphic>
                </wp:inline>
              </w:drawing>
            </w:r>
          </w:p>
        </w:tc>
      </w:tr>
      <w:tr w14:paraId="50A4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513" w:type="dxa"/>
            <w:vAlign w:val="top"/>
          </w:tcPr>
          <w:p w14:paraId="659D816D">
            <w:pPr>
              <w:pStyle w:val="6"/>
              <w:spacing w:before="216" w:line="219" w:lineRule="auto"/>
              <w:ind w:left="375"/>
            </w:pPr>
            <w:r>
              <w:rPr>
                <w:spacing w:val="1"/>
              </w:rPr>
              <w:t>验收监测单位</w:t>
            </w:r>
          </w:p>
        </w:tc>
        <w:tc>
          <w:tcPr>
            <w:tcW w:w="1979" w:type="dxa"/>
            <w:vAlign w:val="top"/>
          </w:tcPr>
          <w:p w14:paraId="07797D4B">
            <w:pPr>
              <w:rPr>
                <w:rFonts w:ascii="Arial"/>
                <w:sz w:val="21"/>
              </w:rPr>
            </w:pPr>
            <w:r>
              <w:drawing>
                <wp:anchor distT="0" distB="0" distL="0" distR="0" simplePos="0" relativeHeight="251665408" behindDoc="0" locked="0" layoutInCell="1" allowOverlap="1">
                  <wp:simplePos x="0" y="0"/>
                  <wp:positionH relativeFrom="rightMargin">
                    <wp:posOffset>-1021080</wp:posOffset>
                  </wp:positionH>
                  <wp:positionV relativeFrom="topMargin">
                    <wp:posOffset>46355</wp:posOffset>
                  </wp:positionV>
                  <wp:extent cx="694055" cy="4641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693742" cy="463872"/>
                          </a:xfrm>
                          <a:prstGeom prst="rect">
                            <a:avLst/>
                          </a:prstGeom>
                        </pic:spPr>
                      </pic:pic>
                    </a:graphicData>
                  </a:graphic>
                </wp:anchor>
              </w:drawing>
            </w:r>
          </w:p>
        </w:tc>
        <w:tc>
          <w:tcPr>
            <w:tcW w:w="5097" w:type="dxa"/>
            <w:vAlign w:val="top"/>
          </w:tcPr>
          <w:p w14:paraId="36AF7995">
            <w:pPr>
              <w:pStyle w:val="6"/>
              <w:spacing w:before="216" w:line="219" w:lineRule="auto"/>
              <w:ind w:left="943"/>
            </w:pPr>
            <w:r>
              <w:rPr>
                <w:spacing w:val="3"/>
              </w:rPr>
              <w:t>深圳市泰诚检测有限公司</w:t>
            </w:r>
          </w:p>
        </w:tc>
        <w:tc>
          <w:tcPr>
            <w:tcW w:w="1769" w:type="dxa"/>
            <w:vAlign w:val="top"/>
          </w:tcPr>
          <w:p w14:paraId="0B4BB374">
            <w:pPr>
              <w:rPr>
                <w:rFonts w:ascii="Arial"/>
                <w:sz w:val="21"/>
              </w:rPr>
            </w:pPr>
            <w:r>
              <w:drawing>
                <wp:anchor distT="0" distB="0" distL="0" distR="0" simplePos="0" relativeHeight="251667456" behindDoc="0" locked="0" layoutInCell="1" allowOverlap="1">
                  <wp:simplePos x="0" y="0"/>
                  <wp:positionH relativeFrom="rightMargin">
                    <wp:posOffset>-986155</wp:posOffset>
                  </wp:positionH>
                  <wp:positionV relativeFrom="topMargin">
                    <wp:posOffset>140335</wp:posOffset>
                  </wp:positionV>
                  <wp:extent cx="661035" cy="3511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661245" cy="351019"/>
                          </a:xfrm>
                          <a:prstGeom prst="rect">
                            <a:avLst/>
                          </a:prstGeom>
                        </pic:spPr>
                      </pic:pic>
                    </a:graphicData>
                  </a:graphic>
                </wp:anchor>
              </w:drawing>
            </w:r>
          </w:p>
        </w:tc>
        <w:tc>
          <w:tcPr>
            <w:tcW w:w="2378" w:type="dxa"/>
            <w:vAlign w:val="top"/>
          </w:tcPr>
          <w:p w14:paraId="1810002B">
            <w:pPr>
              <w:rPr>
                <w:rFonts w:ascii="Arial"/>
                <w:sz w:val="21"/>
              </w:rPr>
            </w:pPr>
            <w:r>
              <w:drawing>
                <wp:anchor distT="0" distB="0" distL="0" distR="0" simplePos="0" relativeHeight="251668480" behindDoc="0" locked="0" layoutInCell="1" allowOverlap="1">
                  <wp:simplePos x="0" y="0"/>
                  <wp:positionH relativeFrom="rightMargin">
                    <wp:posOffset>-1473200</wp:posOffset>
                  </wp:positionH>
                  <wp:positionV relativeFrom="topMargin">
                    <wp:posOffset>151130</wp:posOffset>
                  </wp:positionV>
                  <wp:extent cx="1155700" cy="36576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1155662" cy="365546"/>
                          </a:xfrm>
                          <a:prstGeom prst="rect">
                            <a:avLst/>
                          </a:prstGeom>
                        </pic:spPr>
                      </pic:pic>
                    </a:graphicData>
                  </a:graphic>
                </wp:anchor>
              </w:drawing>
            </w:r>
          </w:p>
        </w:tc>
        <w:tc>
          <w:tcPr>
            <w:tcW w:w="2014" w:type="dxa"/>
            <w:vAlign w:val="top"/>
          </w:tcPr>
          <w:p w14:paraId="1215731F">
            <w:pPr>
              <w:rPr>
                <w:rFonts w:ascii="Arial"/>
                <w:sz w:val="21"/>
              </w:rPr>
            </w:pPr>
            <w:r>
              <w:drawing>
                <wp:anchor distT="0" distB="0" distL="0" distR="0" simplePos="0" relativeHeight="251666432" behindDoc="0" locked="0" layoutInCell="1" allowOverlap="1">
                  <wp:simplePos x="0" y="0"/>
                  <wp:positionH relativeFrom="rightMargin">
                    <wp:posOffset>-1038225</wp:posOffset>
                  </wp:positionH>
                  <wp:positionV relativeFrom="topMargin">
                    <wp:posOffset>122555</wp:posOffset>
                  </wp:positionV>
                  <wp:extent cx="598170" cy="45783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4"/>
                          <a:stretch>
                            <a:fillRect/>
                          </a:stretch>
                        </pic:blipFill>
                        <pic:spPr>
                          <a:xfrm>
                            <a:off x="0" y="0"/>
                            <a:ext cx="598118" cy="457847"/>
                          </a:xfrm>
                          <a:prstGeom prst="rect">
                            <a:avLst/>
                          </a:prstGeom>
                        </pic:spPr>
                      </pic:pic>
                    </a:graphicData>
                  </a:graphic>
                </wp:anchor>
              </w:drawing>
            </w:r>
          </w:p>
        </w:tc>
      </w:tr>
      <w:tr w14:paraId="4CB1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513" w:type="dxa"/>
            <w:vAlign w:val="top"/>
          </w:tcPr>
          <w:p w14:paraId="1D7273F5">
            <w:pPr>
              <w:pStyle w:val="6"/>
              <w:spacing w:before="218" w:line="219" w:lineRule="auto"/>
              <w:ind w:left="375"/>
            </w:pPr>
            <w:r>
              <w:rPr>
                <w:spacing w:val="1"/>
              </w:rPr>
              <w:t>环评编制单位</w:t>
            </w:r>
          </w:p>
        </w:tc>
        <w:tc>
          <w:tcPr>
            <w:tcW w:w="1979" w:type="dxa"/>
            <w:vAlign w:val="top"/>
          </w:tcPr>
          <w:p w14:paraId="1BAB7D0E">
            <w:pPr>
              <w:spacing w:before="185" w:line="502" w:lineRule="exact"/>
              <w:ind w:firstLine="81"/>
            </w:pPr>
            <w:r>
              <w:rPr>
                <w:position w:val="-10"/>
              </w:rPr>
              <w:drawing>
                <wp:inline distT="0" distB="0" distL="0" distR="0">
                  <wp:extent cx="654050" cy="31877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654503" cy="319163"/>
                          </a:xfrm>
                          <a:prstGeom prst="rect">
                            <a:avLst/>
                          </a:prstGeom>
                        </pic:spPr>
                      </pic:pic>
                    </a:graphicData>
                  </a:graphic>
                </wp:inline>
              </w:drawing>
            </w:r>
          </w:p>
        </w:tc>
        <w:tc>
          <w:tcPr>
            <w:tcW w:w="5097" w:type="dxa"/>
            <w:vAlign w:val="top"/>
          </w:tcPr>
          <w:p w14:paraId="15DB513D">
            <w:pPr>
              <w:pStyle w:val="6"/>
              <w:spacing w:before="218" w:line="219" w:lineRule="auto"/>
              <w:ind w:left="513"/>
            </w:pPr>
            <w:r>
              <w:rPr>
                <w:spacing w:val="2"/>
              </w:rPr>
              <w:t>深圳市格律诗环境技术有限公司</w:t>
            </w:r>
          </w:p>
        </w:tc>
        <w:tc>
          <w:tcPr>
            <w:tcW w:w="1769" w:type="dxa"/>
            <w:vAlign w:val="top"/>
          </w:tcPr>
          <w:p w14:paraId="20C454EB">
            <w:pPr>
              <w:rPr>
                <w:rFonts w:ascii="Arial"/>
                <w:sz w:val="21"/>
              </w:rPr>
            </w:pPr>
            <w:r>
              <w:drawing>
                <wp:anchor distT="0" distB="0" distL="0" distR="0" simplePos="0" relativeHeight="251664384" behindDoc="0" locked="0" layoutInCell="1" allowOverlap="1">
                  <wp:simplePos x="0" y="0"/>
                  <wp:positionH relativeFrom="rightMargin">
                    <wp:posOffset>-1087755</wp:posOffset>
                  </wp:positionH>
                  <wp:positionV relativeFrom="topMargin">
                    <wp:posOffset>142240</wp:posOffset>
                  </wp:positionV>
                  <wp:extent cx="1092835" cy="36893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1092686" cy="369077"/>
                          </a:xfrm>
                          <a:prstGeom prst="rect">
                            <a:avLst/>
                          </a:prstGeom>
                        </pic:spPr>
                      </pic:pic>
                    </a:graphicData>
                  </a:graphic>
                </wp:anchor>
              </w:drawing>
            </w:r>
          </w:p>
        </w:tc>
        <w:tc>
          <w:tcPr>
            <w:tcW w:w="2378" w:type="dxa"/>
            <w:vAlign w:val="top"/>
          </w:tcPr>
          <w:p w14:paraId="1D6542D3">
            <w:pPr>
              <w:spacing w:before="156" w:line="531" w:lineRule="exact"/>
              <w:ind w:firstLine="157"/>
            </w:pPr>
            <w:r>
              <w:rPr>
                <w:position w:val="-10"/>
              </w:rPr>
              <w:drawing>
                <wp:inline distT="0" distB="0" distL="0" distR="0">
                  <wp:extent cx="1136015" cy="3371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1136624" cy="337773"/>
                          </a:xfrm>
                          <a:prstGeom prst="rect">
                            <a:avLst/>
                          </a:prstGeom>
                        </pic:spPr>
                      </pic:pic>
                    </a:graphicData>
                  </a:graphic>
                </wp:inline>
              </w:drawing>
            </w:r>
          </w:p>
        </w:tc>
        <w:tc>
          <w:tcPr>
            <w:tcW w:w="2014" w:type="dxa"/>
            <w:vAlign w:val="top"/>
          </w:tcPr>
          <w:p w14:paraId="3251ACE7">
            <w:pPr>
              <w:spacing w:line="302" w:lineRule="auto"/>
              <w:rPr>
                <w:rFonts w:ascii="Arial"/>
                <w:sz w:val="21"/>
              </w:rPr>
            </w:pPr>
          </w:p>
          <w:p w14:paraId="01D98F19">
            <w:pPr>
              <w:spacing w:line="384" w:lineRule="exact"/>
              <w:ind w:firstLine="168"/>
            </w:pPr>
            <w:r>
              <w:rPr>
                <w:position w:val="-7"/>
              </w:rPr>
              <w:drawing>
                <wp:inline distT="0" distB="0" distL="0" distR="0">
                  <wp:extent cx="559435" cy="2432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560067" cy="243530"/>
                          </a:xfrm>
                          <a:prstGeom prst="rect">
                            <a:avLst/>
                          </a:prstGeom>
                        </pic:spPr>
                      </pic:pic>
                    </a:graphicData>
                  </a:graphic>
                </wp:inline>
              </w:drawing>
            </w:r>
          </w:p>
        </w:tc>
      </w:tr>
      <w:tr w14:paraId="2889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2513" w:type="dxa"/>
            <w:vAlign w:val="top"/>
          </w:tcPr>
          <w:p w14:paraId="1CF995CF">
            <w:pPr>
              <w:pStyle w:val="6"/>
              <w:spacing w:before="180" w:line="319" w:lineRule="auto"/>
              <w:ind w:left="952" w:hanging="937"/>
            </w:pPr>
            <w:r>
              <w:rPr>
                <w:spacing w:val="-14"/>
              </w:rPr>
              <w:t>环保设施设计、施工</w:t>
            </w:r>
            <w:r>
              <w:rPr>
                <w:spacing w:val="2"/>
              </w:rPr>
              <w:t xml:space="preserve"> </w:t>
            </w:r>
            <w:r>
              <w:rPr>
                <w:spacing w:val="4"/>
              </w:rPr>
              <w:t>单位</w:t>
            </w:r>
          </w:p>
        </w:tc>
        <w:tc>
          <w:tcPr>
            <w:tcW w:w="1979" w:type="dxa"/>
            <w:vAlign w:val="top"/>
          </w:tcPr>
          <w:p w14:paraId="27677BC2">
            <w:pPr>
              <w:spacing w:before="198" w:line="810" w:lineRule="exact"/>
              <w:ind w:firstLine="102"/>
            </w:pPr>
            <w:r>
              <w:rPr>
                <w:position w:val="-16"/>
              </w:rPr>
              <w:drawing>
                <wp:inline distT="0" distB="0" distL="0" distR="0">
                  <wp:extent cx="850265" cy="5143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9"/>
                          <a:stretch>
                            <a:fillRect/>
                          </a:stretch>
                        </pic:blipFill>
                        <pic:spPr>
                          <a:xfrm>
                            <a:off x="0" y="0"/>
                            <a:ext cx="850839" cy="514350"/>
                          </a:xfrm>
                          <a:prstGeom prst="rect">
                            <a:avLst/>
                          </a:prstGeom>
                        </pic:spPr>
                      </pic:pic>
                    </a:graphicData>
                  </a:graphic>
                </wp:inline>
              </w:drawing>
            </w:r>
          </w:p>
        </w:tc>
        <w:tc>
          <w:tcPr>
            <w:tcW w:w="5097" w:type="dxa"/>
            <w:vAlign w:val="top"/>
          </w:tcPr>
          <w:p w14:paraId="5823248A">
            <w:pPr>
              <w:spacing w:line="364" w:lineRule="auto"/>
              <w:rPr>
                <w:rFonts w:ascii="Arial"/>
                <w:sz w:val="21"/>
              </w:rPr>
            </w:pPr>
          </w:p>
          <w:p w14:paraId="3DB66E01">
            <w:pPr>
              <w:pStyle w:val="6"/>
              <w:spacing w:before="94" w:line="220" w:lineRule="auto"/>
              <w:ind w:left="803"/>
            </w:pPr>
            <w:r>
              <w:rPr>
                <w:spacing w:val="3"/>
              </w:rPr>
              <w:t>深圳耀中环保工程有限公司</w:t>
            </w:r>
          </w:p>
        </w:tc>
        <w:tc>
          <w:tcPr>
            <w:tcW w:w="1769" w:type="dxa"/>
            <w:vAlign w:val="top"/>
          </w:tcPr>
          <w:p w14:paraId="2E1A50C6">
            <w:pPr>
              <w:spacing w:line="405" w:lineRule="auto"/>
              <w:rPr>
                <w:rFonts w:ascii="Arial"/>
                <w:sz w:val="21"/>
              </w:rPr>
            </w:pPr>
          </w:p>
          <w:p w14:paraId="25D29890">
            <w:pPr>
              <w:spacing w:line="600" w:lineRule="exact"/>
            </w:pPr>
            <w:r>
              <w:rPr>
                <w:position w:val="-11"/>
              </w:rPr>
              <w:drawing>
                <wp:inline distT="0" distB="0" distL="0" distR="0">
                  <wp:extent cx="1070610" cy="3803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0"/>
                          <a:stretch>
                            <a:fillRect/>
                          </a:stretch>
                        </pic:blipFill>
                        <pic:spPr>
                          <a:xfrm>
                            <a:off x="0" y="0"/>
                            <a:ext cx="1070682" cy="380980"/>
                          </a:xfrm>
                          <a:prstGeom prst="rect">
                            <a:avLst/>
                          </a:prstGeom>
                        </pic:spPr>
                      </pic:pic>
                    </a:graphicData>
                  </a:graphic>
                </wp:inline>
              </w:drawing>
            </w:r>
          </w:p>
        </w:tc>
        <w:tc>
          <w:tcPr>
            <w:tcW w:w="2378" w:type="dxa"/>
            <w:vAlign w:val="top"/>
          </w:tcPr>
          <w:p w14:paraId="62F470E2">
            <w:pPr>
              <w:spacing w:line="246" w:lineRule="auto"/>
              <w:rPr>
                <w:rFonts w:ascii="Arial"/>
                <w:sz w:val="21"/>
              </w:rPr>
            </w:pPr>
          </w:p>
          <w:p w14:paraId="043B65D3">
            <w:pPr>
              <w:spacing w:line="690" w:lineRule="exact"/>
              <w:ind w:firstLine="216"/>
            </w:pPr>
            <w:r>
              <w:rPr>
                <w:position w:val="-13"/>
              </w:rPr>
              <w:drawing>
                <wp:inline distT="0" distB="0" distL="0" distR="0">
                  <wp:extent cx="1118235" cy="4381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1"/>
                          <a:stretch>
                            <a:fillRect/>
                          </a:stretch>
                        </pic:blipFill>
                        <pic:spPr>
                          <a:xfrm>
                            <a:off x="0" y="0"/>
                            <a:ext cx="1118364" cy="438317"/>
                          </a:xfrm>
                          <a:prstGeom prst="rect">
                            <a:avLst/>
                          </a:prstGeom>
                        </pic:spPr>
                      </pic:pic>
                    </a:graphicData>
                  </a:graphic>
                </wp:inline>
              </w:drawing>
            </w:r>
          </w:p>
        </w:tc>
        <w:tc>
          <w:tcPr>
            <w:tcW w:w="2014" w:type="dxa"/>
            <w:vAlign w:val="top"/>
          </w:tcPr>
          <w:p w14:paraId="4166F1FB">
            <w:pPr>
              <w:spacing w:before="228" w:line="790" w:lineRule="exact"/>
              <w:ind w:firstLine="129"/>
            </w:pPr>
            <w:r>
              <w:rPr>
                <w:position w:val="-15"/>
              </w:rPr>
              <w:drawing>
                <wp:inline distT="0" distB="0" distL="0" distR="0">
                  <wp:extent cx="704215" cy="5010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2"/>
                          <a:stretch>
                            <a:fillRect/>
                          </a:stretch>
                        </pic:blipFill>
                        <pic:spPr>
                          <a:xfrm>
                            <a:off x="0" y="0"/>
                            <a:ext cx="704849" cy="501648"/>
                          </a:xfrm>
                          <a:prstGeom prst="rect">
                            <a:avLst/>
                          </a:prstGeom>
                        </pic:spPr>
                      </pic:pic>
                    </a:graphicData>
                  </a:graphic>
                </wp:inline>
              </w:drawing>
            </w:r>
          </w:p>
        </w:tc>
      </w:tr>
    </w:tbl>
    <w:p w14:paraId="20F41FBC">
      <w:pPr>
        <w:rPr>
          <w:rFonts w:ascii="Arial"/>
          <w:sz w:val="21"/>
        </w:rPr>
      </w:pPr>
    </w:p>
    <w:sectPr>
      <w:footerReference r:id="rId9" w:type="default"/>
      <w:pgSz w:w="16540" w:h="12050"/>
      <w:pgMar w:top="1024" w:right="275" w:bottom="400" w:left="5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B91D">
    <w:pPr>
      <w:spacing w:line="172" w:lineRule="auto"/>
      <w:ind w:left="4095"/>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D9C5">
    <w:pPr>
      <w:spacing w:line="172" w:lineRule="auto"/>
      <w:ind w:left="4105"/>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6851">
    <w:pPr>
      <w:spacing w:line="172" w:lineRule="auto"/>
      <w:ind w:left="4085"/>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7BB5">
    <w:pPr>
      <w:spacing w:line="172" w:lineRule="auto"/>
      <w:ind w:left="4115"/>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08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VkMWRlMzg1OTE4ZDNiMTFkOGY2NzRlOTA4ODhiYjQifQ=="/>
  </w:docVars>
  <w:rsids>
    <w:rsidRoot w:val="00000000"/>
    <w:rsid w:val="35C836AC"/>
    <w:rsid w:val="3C0534E4"/>
    <w:rsid w:val="445B3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2949</Words>
  <Characters>3122</Characters>
  <TotalTime>0</TotalTime>
  <ScaleCrop>false</ScaleCrop>
  <LinksUpToDate>false</LinksUpToDate>
  <CharactersWithSpaces>3212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2024-08-26T11:04:00Z</dcterms:created>
  <dc:creator>Kingsoft-PDF</dc:creator>
  <cp:lastModifiedBy>A秋天『环保君』</cp:lastModifiedBy>
  <dcterms:modified xsi:type="dcterms:W3CDTF">2024-08-26T03:09:34Z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2024-08-26T11:04:27Z</vt:filetime>
  </property>
  <property fmtid="{D5CDD505-2E9C-101B-9397-08002B2CF9AE}" pid="4" name="UsrData">
    <vt:lpwstr>66cbf0b7fc860c001fcea59dwl</vt:lpwstr>
  </property>
  <property fmtid="{D5CDD505-2E9C-101B-9397-08002B2CF9AE}" pid="5" name="KSOProductBuildVer">
    <vt:lpwstr>2052-12.1.0.17827</vt:lpwstr>
  </property>
  <property fmtid="{D5CDD505-2E9C-101B-9397-08002B2CF9AE}" pid="6" name="ICV">
    <vt:lpwstr>EE950FD63A744255AFA6DA2DCD2177C9_12</vt:lpwstr>
  </property>
</Properties>
</file>